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5545DB" w:rsidRPr="006B4E25" w14:paraId="07231B09" w14:textId="77777777">
        <w:trPr>
          <w:cantSplit/>
          <w:trHeight w:hRule="exact" w:val="851"/>
        </w:trPr>
        <w:tc>
          <w:tcPr>
            <w:tcW w:w="1276" w:type="dxa"/>
            <w:tcBorders>
              <w:bottom w:val="single" w:sz="4" w:space="0" w:color="auto"/>
            </w:tcBorders>
            <w:vAlign w:val="bottom"/>
          </w:tcPr>
          <w:p w14:paraId="07231B06" w14:textId="77777777" w:rsidR="005545DB" w:rsidRPr="006B4E25" w:rsidRDefault="005545DB">
            <w:pPr>
              <w:spacing w:after="80"/>
            </w:pPr>
          </w:p>
        </w:tc>
        <w:tc>
          <w:tcPr>
            <w:tcW w:w="2268" w:type="dxa"/>
            <w:tcBorders>
              <w:bottom w:val="single" w:sz="4" w:space="0" w:color="auto"/>
            </w:tcBorders>
            <w:vAlign w:val="bottom"/>
          </w:tcPr>
          <w:p w14:paraId="07231B07" w14:textId="6E1EF5AF" w:rsidR="005545DB" w:rsidRPr="006B4E25" w:rsidRDefault="005545DB">
            <w:pPr>
              <w:spacing w:after="80" w:line="300" w:lineRule="exact"/>
              <w:rPr>
                <w:b/>
                <w:sz w:val="24"/>
              </w:rPr>
            </w:pPr>
          </w:p>
        </w:tc>
        <w:tc>
          <w:tcPr>
            <w:tcW w:w="6095" w:type="dxa"/>
            <w:gridSpan w:val="2"/>
            <w:tcBorders>
              <w:bottom w:val="single" w:sz="4" w:space="0" w:color="auto"/>
            </w:tcBorders>
            <w:vAlign w:val="bottom"/>
          </w:tcPr>
          <w:p w14:paraId="07231B08" w14:textId="34AAD841" w:rsidR="005545DB" w:rsidRPr="006B4E25" w:rsidRDefault="00584594">
            <w:pPr>
              <w:jc w:val="right"/>
            </w:pPr>
            <w:r w:rsidRPr="006B4E25">
              <w:rPr>
                <w:sz w:val="40"/>
              </w:rPr>
              <w:t>CRPD</w:t>
            </w:r>
            <w:r w:rsidRPr="006B4E25">
              <w:t xml:space="preserve">/C/GC/6 </w:t>
            </w:r>
          </w:p>
        </w:tc>
      </w:tr>
      <w:tr w:rsidR="005545DB" w:rsidRPr="006B4E25" w14:paraId="07231B12" w14:textId="77777777">
        <w:trPr>
          <w:cantSplit/>
          <w:trHeight w:hRule="exact" w:val="2835"/>
        </w:trPr>
        <w:tc>
          <w:tcPr>
            <w:tcW w:w="1276" w:type="dxa"/>
            <w:tcBorders>
              <w:top w:val="single" w:sz="4" w:space="0" w:color="auto"/>
              <w:bottom w:val="single" w:sz="12" w:space="0" w:color="auto"/>
            </w:tcBorders>
          </w:tcPr>
          <w:p w14:paraId="07231B0A" w14:textId="0DB2DA77" w:rsidR="005545DB" w:rsidRPr="006B4E25" w:rsidRDefault="005545DB">
            <w:pPr>
              <w:spacing w:before="120"/>
              <w:jc w:val="center"/>
              <w:rPr>
                <w:sz w:val="36"/>
              </w:rPr>
            </w:pPr>
          </w:p>
        </w:tc>
        <w:tc>
          <w:tcPr>
            <w:tcW w:w="5528" w:type="dxa"/>
            <w:gridSpan w:val="2"/>
            <w:tcBorders>
              <w:top w:val="single" w:sz="4" w:space="0" w:color="auto"/>
              <w:bottom w:val="single" w:sz="12" w:space="0" w:color="auto"/>
            </w:tcBorders>
          </w:tcPr>
          <w:p w14:paraId="07231B0C" w14:textId="5F428185" w:rsidR="005545DB" w:rsidRPr="006B4E25" w:rsidRDefault="00584594">
            <w:pPr>
              <w:pStyle w:val="P68B1DB1-Navaden1"/>
              <w:spacing w:before="120" w:line="380" w:lineRule="exact"/>
            </w:pPr>
            <w:r w:rsidRPr="006B4E25">
              <w:t>Predhodna, neokrnjena različica</w:t>
            </w:r>
          </w:p>
        </w:tc>
        <w:tc>
          <w:tcPr>
            <w:tcW w:w="2835" w:type="dxa"/>
            <w:tcBorders>
              <w:top w:val="single" w:sz="4" w:space="0" w:color="auto"/>
              <w:bottom w:val="single" w:sz="12" w:space="0" w:color="auto"/>
            </w:tcBorders>
          </w:tcPr>
          <w:p w14:paraId="07231B0D" w14:textId="519972D1" w:rsidR="005545DB" w:rsidRPr="006B4E25" w:rsidRDefault="00584594">
            <w:pPr>
              <w:spacing w:before="240" w:line="240" w:lineRule="exact"/>
            </w:pPr>
            <w:r w:rsidRPr="006B4E25">
              <w:t>Razširjanje: splošno</w:t>
            </w:r>
          </w:p>
          <w:p w14:paraId="07231B0E" w14:textId="70B817D2" w:rsidR="005545DB" w:rsidRPr="006B4E25" w:rsidRDefault="00584594">
            <w:pPr>
              <w:spacing w:line="240" w:lineRule="exact"/>
            </w:pPr>
            <w:r w:rsidRPr="006B4E25">
              <w:t>9. marec 2018</w:t>
            </w:r>
          </w:p>
          <w:p w14:paraId="07231B0F" w14:textId="77777777" w:rsidR="005545DB" w:rsidRPr="006B4E25" w:rsidRDefault="005545DB">
            <w:pPr>
              <w:spacing w:line="240" w:lineRule="exact"/>
            </w:pPr>
          </w:p>
          <w:p w14:paraId="07231B10" w14:textId="77777777" w:rsidR="005545DB" w:rsidRPr="006B4E25" w:rsidRDefault="00584594">
            <w:pPr>
              <w:spacing w:line="240" w:lineRule="exact"/>
            </w:pPr>
            <w:r w:rsidRPr="006B4E25">
              <w:t>Izvirnik: angleščina</w:t>
            </w:r>
          </w:p>
          <w:p w14:paraId="07231B11" w14:textId="77777777" w:rsidR="005545DB" w:rsidRPr="006B4E25" w:rsidRDefault="00584594">
            <w:pPr>
              <w:spacing w:line="240" w:lineRule="exact"/>
            </w:pPr>
            <w:r w:rsidRPr="006B4E25">
              <w:t>Le angleščina, ruščina in španščina</w:t>
            </w:r>
          </w:p>
        </w:tc>
      </w:tr>
    </w:tbl>
    <w:p w14:paraId="07231B13" w14:textId="77777777" w:rsidR="005545DB" w:rsidRPr="006B4E25" w:rsidRDefault="00584594">
      <w:pPr>
        <w:pStyle w:val="P68B1DB1-Navaden2"/>
        <w:spacing w:before="120"/>
      </w:pPr>
      <w:r w:rsidRPr="006B4E25">
        <w:t>Odbor za pravice oseb z invalidnostmi</w:t>
      </w:r>
    </w:p>
    <w:p w14:paraId="07231B18" w14:textId="33FB830A" w:rsidR="005545DB" w:rsidRPr="006B4E25" w:rsidRDefault="00584594">
      <w:pPr>
        <w:pStyle w:val="HChG"/>
      </w:pPr>
      <w:r w:rsidRPr="006B4E25">
        <w:tab/>
      </w:r>
      <w:r w:rsidRPr="006B4E25">
        <w:tab/>
      </w:r>
      <w:r w:rsidR="00D36B40" w:rsidRPr="006B4E25">
        <w:t>Splošni komentar</w:t>
      </w:r>
      <w:r w:rsidRPr="006B4E25">
        <w:t xml:space="preserve"> (2018) o enakosti in nediskriminaciji</w:t>
      </w:r>
      <w:r w:rsidRPr="006B4E25">
        <w:rPr>
          <w:sz w:val="20"/>
          <w:vertAlign w:val="superscript"/>
        </w:rPr>
        <w:footnoteReference w:customMarkFollows="1" w:id="2"/>
        <w:t xml:space="preserve"> *</w:t>
      </w:r>
    </w:p>
    <w:p w14:paraId="07231B1A" w14:textId="0B5BBAAD" w:rsidR="005545DB" w:rsidRPr="006B4E25" w:rsidRDefault="00584594">
      <w:pPr>
        <w:pStyle w:val="HChG"/>
      </w:pPr>
      <w:r w:rsidRPr="006B4E25">
        <w:tab/>
        <w:t>I.</w:t>
      </w:r>
      <w:r w:rsidRPr="006B4E25">
        <w:tab/>
        <w:t>Uvod</w:t>
      </w:r>
    </w:p>
    <w:p w14:paraId="07231B1B" w14:textId="1DFCE759" w:rsidR="005545DB" w:rsidRPr="006B4E25" w:rsidRDefault="00584594">
      <w:pPr>
        <w:pStyle w:val="SingleTxtG"/>
        <w:numPr>
          <w:ilvl w:val="0"/>
          <w:numId w:val="4"/>
        </w:numPr>
        <w:ind w:left="1134" w:firstLine="0"/>
      </w:pPr>
      <w:r w:rsidRPr="006B4E25">
        <w:t>Namen te</w:t>
      </w:r>
      <w:r w:rsidR="006872B6" w:rsidRPr="006B4E25">
        <w:t>ga</w:t>
      </w:r>
      <w:r w:rsidRPr="006B4E25">
        <w:t xml:space="preserve"> Splošne</w:t>
      </w:r>
      <w:r w:rsidR="006872B6" w:rsidRPr="006B4E25">
        <w:t>ga</w:t>
      </w:r>
      <w:r w:rsidRPr="006B4E25">
        <w:t xml:space="preserve"> </w:t>
      </w:r>
      <w:r w:rsidR="006872B6" w:rsidRPr="006B4E25">
        <w:t xml:space="preserve">komentarja </w:t>
      </w:r>
      <w:r w:rsidRPr="006B4E25">
        <w:t xml:space="preserve">je pojasniti obveznosti držav pogodbenic na področju nediskriminacije in enakosti, kot so določene v 5. členu Konvencije o pravicah invalidov. </w:t>
      </w:r>
    </w:p>
    <w:p w14:paraId="07231B1C" w14:textId="65FF88FF" w:rsidR="005545DB" w:rsidRPr="006B4E25" w:rsidRDefault="00584594">
      <w:pPr>
        <w:pStyle w:val="SingleTxtG"/>
        <w:numPr>
          <w:ilvl w:val="0"/>
          <w:numId w:val="4"/>
        </w:numPr>
        <w:ind w:left="1134" w:firstLine="0"/>
      </w:pPr>
      <w:r w:rsidRPr="006B4E25">
        <w:t xml:space="preserve">Odbor izraža zaskrbljenost, da zakoni in politike držav pogodbenic še vedno obravnavajo invalidnost </w:t>
      </w:r>
      <w:r w:rsidR="00BA0492" w:rsidRPr="006B4E25">
        <w:t>po</w:t>
      </w:r>
      <w:r w:rsidRPr="006B4E25">
        <w:rPr>
          <w:b/>
        </w:rPr>
        <w:t xml:space="preserve"> </w:t>
      </w:r>
      <w:r w:rsidR="00BA0492" w:rsidRPr="006B4E25">
        <w:t>modelu</w:t>
      </w:r>
      <w:r w:rsidRPr="006B4E25">
        <w:t xml:space="preserve"> d</w:t>
      </w:r>
      <w:r w:rsidR="00BA0492" w:rsidRPr="006B4E25">
        <w:t>obrodelnosti in/ali medicinskem modelu, kljub temu</w:t>
      </w:r>
      <w:r w:rsidRPr="006B4E25">
        <w:t xml:space="preserve"> da navedena modela nista združljiva s Konvencijo. Vztrajna uporaba takšnih paradigem ne priznava</w:t>
      </w:r>
      <w:r w:rsidRPr="006B4E25">
        <w:rPr>
          <w:b/>
        </w:rPr>
        <w:t xml:space="preserve"> </w:t>
      </w:r>
      <w:r w:rsidRPr="006B4E25">
        <w:t xml:space="preserve">oseb z invalidnostmi kot polnih </w:t>
      </w:r>
      <w:r w:rsidR="00D36B40" w:rsidRPr="006B4E25">
        <w:t xml:space="preserve">subjektov </w:t>
      </w:r>
      <w:r w:rsidRPr="006B4E25">
        <w:t xml:space="preserve">pravic ter kot </w:t>
      </w:r>
      <w:r w:rsidR="002D2789" w:rsidRPr="006B4E25">
        <w:t xml:space="preserve">nosilcev </w:t>
      </w:r>
      <w:r w:rsidRPr="006B4E25">
        <w:t>pravic. Poleg tega Odbor ugotavlja tudi, da prizadevanja držav pogodbenic za premagovanje preprek</w:t>
      </w:r>
      <w:r w:rsidR="00D36B40" w:rsidRPr="006B4E25">
        <w:t>, ki izhajajo iz</w:t>
      </w:r>
      <w:r w:rsidRPr="006B4E25">
        <w:t xml:space="preserve"> </w:t>
      </w:r>
      <w:r w:rsidR="00D36B40" w:rsidRPr="006B4E25">
        <w:t xml:space="preserve">odnosa </w:t>
      </w:r>
      <w:r w:rsidRPr="006B4E25">
        <w:t>do invalidnosti niso bila zadostna. Med primere spadajo trdovratni ponižujoči stereotipi, stigma in predsodki do ljudi z invalidnostmi, ki jih obravnavajo kot breme za družbo. Kot odgovor na to je ključnega pomena, da imajo ljudje z invalidnostmi prek svojih reprezentativnih organizacij bistveno vlogo pri razvoju pravnih in političnih reform.</w:t>
      </w:r>
    </w:p>
    <w:p w14:paraId="07231B1D" w14:textId="16F5D909" w:rsidR="005545DB" w:rsidRPr="006B4E25" w:rsidRDefault="00584594">
      <w:pPr>
        <w:pStyle w:val="SingleTxtG"/>
        <w:numPr>
          <w:ilvl w:val="0"/>
          <w:numId w:val="4"/>
        </w:numPr>
        <w:ind w:left="1134" w:firstLine="0"/>
      </w:pPr>
      <w:r w:rsidRPr="006B4E25">
        <w:t xml:space="preserve">Razširitev </w:t>
      </w:r>
      <w:proofErr w:type="spellStart"/>
      <w:r w:rsidRPr="006B4E25">
        <w:t>protidiskriminacijskih</w:t>
      </w:r>
      <w:proofErr w:type="spellEnd"/>
      <w:r w:rsidRPr="006B4E25">
        <w:t xml:space="preserve"> zakonov in okvirov človekovih pravic je privedla do razširjenega varstva pravic ljudi z invalidnostmi v številnih državah pogodbenicah. Kljub temu pa zakoni in regulativni okviri pogosto še naprej ostajajo nedovršeni</w:t>
      </w:r>
      <w:r w:rsidR="0061501E" w:rsidRPr="006B4E25">
        <w:t>, pomanjkljivi ali neučinkoviti</w:t>
      </w:r>
      <w:r w:rsidRPr="006B4E25">
        <w:t xml:space="preserve"> ali pa odražajo neustrezno razumevanje na človekovih pravicah utemeljenega modela invalidnosti. Številni nacionalni zakoni in politike ohranjajo izključevanje in izolacijo ter diskriminacijo in nasilje nad ljudmi z invalidnostmi. Pogosto ne vsebujejo priznanja obstoja </w:t>
      </w:r>
      <w:r w:rsidR="00F264FE" w:rsidRPr="006B4E25">
        <w:t xml:space="preserve">večkratne </w:t>
      </w:r>
      <w:r w:rsidRPr="006B4E25">
        <w:t xml:space="preserve">in presečne diskriminacije ali diskriminacije </w:t>
      </w:r>
      <w:r w:rsidR="00067930" w:rsidRPr="006B4E25">
        <w:t>preko povezave</w:t>
      </w:r>
      <w:r w:rsidRPr="006B4E25">
        <w:t xml:space="preserve">, prav tako pa tudi ne priznavajo, da </w:t>
      </w:r>
      <w:r w:rsidR="00061E26" w:rsidRPr="006B4E25">
        <w:t xml:space="preserve">diskriminacijo </w:t>
      </w:r>
      <w:r w:rsidRPr="006B4E25">
        <w:t xml:space="preserve">pomeni tudi odrekanje razumne prilagoditve, in ne vsebujejo učinkovitih mehanizmov pravnega varstva ter </w:t>
      </w:r>
      <w:r w:rsidR="00061E26" w:rsidRPr="006B4E25">
        <w:t>povračil</w:t>
      </w:r>
      <w:r w:rsidRPr="006B4E25">
        <w:t xml:space="preserve">. Takšni zakoni in politike se običajno ne štejejo za diskriminacijo na podlagi invalidnosti, ker </w:t>
      </w:r>
      <w:r w:rsidR="00061E26" w:rsidRPr="006B4E25">
        <w:t xml:space="preserve">naj bi jih opravičeval </w:t>
      </w:r>
      <w:r w:rsidRPr="006B4E25">
        <w:t>njihov namen zagotavljanja zaščite ali skrbi za ljudi z invalidnostmi ali pa naj bi bili v njihovem najboljšem interesu.</w:t>
      </w:r>
    </w:p>
    <w:p w14:paraId="07231B1E" w14:textId="7CF80E2E" w:rsidR="005545DB" w:rsidRPr="006B4E25" w:rsidRDefault="00584594">
      <w:pPr>
        <w:pStyle w:val="HChG"/>
      </w:pPr>
      <w:r w:rsidRPr="006B4E25">
        <w:tab/>
        <w:t>II.</w:t>
      </w:r>
      <w:r w:rsidRPr="006B4E25">
        <w:tab/>
        <w:t>Enakost in nediskriminacija ljudi z invalidnostmi v mednarodnem pravu</w:t>
      </w:r>
    </w:p>
    <w:p w14:paraId="07231B1F" w14:textId="61F00083" w:rsidR="005545DB" w:rsidRPr="006B4E25" w:rsidRDefault="00584594">
      <w:pPr>
        <w:pStyle w:val="SingleTxtG"/>
        <w:numPr>
          <w:ilvl w:val="0"/>
          <w:numId w:val="4"/>
        </w:numPr>
        <w:ind w:left="1134" w:firstLine="0"/>
      </w:pPr>
      <w:r w:rsidRPr="006B4E25">
        <w:t xml:space="preserve">Enakost in nediskriminacija spadata med najbolj temeljna načela in pravice mednarodnega prava človekovih pravic. Ker sta neločljivo </w:t>
      </w:r>
      <w:r w:rsidR="00F264FE" w:rsidRPr="006B4E25">
        <w:t xml:space="preserve">povezani </w:t>
      </w:r>
      <w:r w:rsidRPr="006B4E25">
        <w:t>s človeškim dostojanstvom, predstavljata temelj</w:t>
      </w:r>
      <w:r w:rsidR="006B4E25" w:rsidRPr="006B4E25">
        <w:t>ni kamen</w:t>
      </w:r>
      <w:r w:rsidRPr="006B4E25">
        <w:t xml:space="preserve"> vseh človekovih pravic. 1. in 2. člen Splošne deklaracije človekovih pravic razglašata, da imajo vsi ljudje enako dostojanstvo in pravice, </w:t>
      </w:r>
      <w:r w:rsidRPr="006B4E25">
        <w:lastRenderedPageBreak/>
        <w:t>ter obsojata diskriminacijo na podlagi neizčrpnega seznama razlogov</w:t>
      </w:r>
      <w:r w:rsidR="00EC0440" w:rsidRPr="006B4E25">
        <w:t xml:space="preserve"> (</w:t>
      </w:r>
      <w:r w:rsidR="00D376E2" w:rsidRPr="006B4E25">
        <w:t>tj</w:t>
      </w:r>
      <w:r w:rsidR="006B4E25" w:rsidRPr="006B4E25">
        <w:t>.</w:t>
      </w:r>
      <w:r w:rsidR="00D376E2" w:rsidRPr="006B4E25">
        <w:t xml:space="preserve"> </w:t>
      </w:r>
      <w:r w:rsidR="0083268E" w:rsidRPr="006B4E25">
        <w:t xml:space="preserve">podlag, </w:t>
      </w:r>
      <w:r w:rsidR="00EC0440" w:rsidRPr="006B4E25">
        <w:t>osebnih okoliščin)</w:t>
      </w:r>
      <w:r w:rsidRPr="006B4E25">
        <w:t>.</w:t>
      </w:r>
    </w:p>
    <w:p w14:paraId="07231B20" w14:textId="01C894DE" w:rsidR="005545DB" w:rsidRPr="006B4E25" w:rsidRDefault="00584594">
      <w:pPr>
        <w:pStyle w:val="SingleTxtG"/>
        <w:numPr>
          <w:ilvl w:val="0"/>
          <w:numId w:val="4"/>
        </w:numPr>
        <w:ind w:left="1134" w:firstLine="0"/>
      </w:pPr>
      <w:r w:rsidRPr="006B4E25">
        <w:t>Enakost in nediskriminacija sta v osrčju vseh pogodb o človekovih pravicah. Mednarodni pakt o državljanskih in političnih pravicah ter Mednarodni pakt o ekonomskih, socialnih in kulturnih pravicah prepovedujeta diskriminacijo na podlagi odprtega seznama razlogov</w:t>
      </w:r>
      <w:r w:rsidR="00D376E2" w:rsidRPr="006B4E25">
        <w:t xml:space="preserve"> (tj</w:t>
      </w:r>
      <w:r w:rsidR="006B4E25" w:rsidRPr="006B4E25">
        <w:t>.</w:t>
      </w:r>
      <w:r w:rsidR="00D376E2" w:rsidRPr="006B4E25">
        <w:t xml:space="preserve"> podlag, osebnih okoliščin)</w:t>
      </w:r>
      <w:r w:rsidRPr="006B4E25">
        <w:t>, iz katerih izhaja 5. člen Konvencije. Namen vseh tematskih konvencij Združenih narodov o človekovih pravicah</w:t>
      </w:r>
      <w:r w:rsidRPr="006B4E25">
        <w:rPr>
          <w:rStyle w:val="Sprotnaopomba-sklic"/>
        </w:rPr>
        <w:footnoteReference w:id="3"/>
      </w:r>
      <w:r w:rsidRPr="006B4E25">
        <w:t xml:space="preserve"> je vzpostavitev enakosti in odprava diskriminacije, vsebujejo pa tudi določbe o enakosti in nediskriminaciji. </w:t>
      </w:r>
      <w:r w:rsidR="00F264FE" w:rsidRPr="006B4E25">
        <w:t xml:space="preserve">Konvencija </w:t>
      </w:r>
      <w:r w:rsidRPr="006B4E25">
        <w:t xml:space="preserve">o pravicah invalidov </w:t>
      </w:r>
      <w:r w:rsidR="006B10B8" w:rsidRPr="006B4E25">
        <w:t>črpa</w:t>
      </w:r>
      <w:r w:rsidRPr="006B4E25">
        <w:t xml:space="preserve"> </w:t>
      </w:r>
      <w:r w:rsidR="006B10B8" w:rsidRPr="006B4E25">
        <w:t xml:space="preserve">iz </w:t>
      </w:r>
      <w:r w:rsidRPr="006B4E25">
        <w:t>izkuš</w:t>
      </w:r>
      <w:r w:rsidR="006B10B8" w:rsidRPr="006B4E25">
        <w:t>en</w:t>
      </w:r>
      <w:r w:rsidR="00C46322">
        <w:t>j</w:t>
      </w:r>
      <w:r w:rsidRPr="006B4E25">
        <w:t>, ki jih ponujajo druge konvencije, njeni načeli enakosti in nediskriminacije pa predstavljata razvoj tradicije in pristopa Združenih narodov.</w:t>
      </w:r>
    </w:p>
    <w:p w14:paraId="07231B21" w14:textId="665C63B4" w:rsidR="005545DB" w:rsidRPr="006B4E25" w:rsidRDefault="00584594">
      <w:pPr>
        <w:pStyle w:val="SingleTxtG"/>
        <w:numPr>
          <w:ilvl w:val="0"/>
          <w:numId w:val="4"/>
        </w:numPr>
        <w:ind w:left="1134" w:firstLine="0"/>
      </w:pPr>
      <w:r w:rsidRPr="006B4E25">
        <w:t>Izraz "dostojanstvo" se v Konvenciji pojavlja pogosteje kot v kateri koli drugi konvenciji Združenih narodov o človekovih pravicah. Vključen je v preambulo, v kateri se države pogodbenice sklicujejo</w:t>
      </w:r>
      <w:r w:rsidR="0061501E" w:rsidRPr="006B4E25">
        <w:t xml:space="preserve"> na</w:t>
      </w:r>
      <w:r w:rsidRPr="006B4E25">
        <w:t xml:space="preserve"> načela, razglašena v Ustanovni listini Združenih narodov, ki priznavajo, da so prirojeno dostojanstvo in vrednost ter enake in neodtujljive pravice vseh članov človeške dru</w:t>
      </w:r>
      <w:r w:rsidR="006B10B8" w:rsidRPr="006B4E25">
        <w:t>žine</w:t>
      </w:r>
      <w:r w:rsidRPr="006B4E25">
        <w:t xml:space="preserve"> temelj svobode, pravičnosti in miru na svetu. </w:t>
      </w:r>
    </w:p>
    <w:p w14:paraId="07231B22" w14:textId="558F2D5E" w:rsidR="005545DB" w:rsidRPr="006B4E25" w:rsidRDefault="00584594">
      <w:pPr>
        <w:pStyle w:val="SingleTxtG"/>
        <w:numPr>
          <w:ilvl w:val="0"/>
          <w:numId w:val="4"/>
        </w:numPr>
        <w:ind w:left="1134" w:firstLine="0"/>
      </w:pPr>
      <w:r w:rsidRPr="006B4E25">
        <w:t>Enakost in nediskriminacija sta v osrčju Konvencije</w:t>
      </w:r>
      <w:r w:rsidR="006E5351" w:rsidRPr="006B4E25">
        <w:t xml:space="preserve"> in</w:t>
      </w:r>
      <w:r w:rsidRPr="006B4E25">
        <w:t xml:space="preserve"> se dosledno navajata v njenih vsebinskih členih s ponavljajočo se uporabo besedila "</w:t>
      </w:r>
      <w:r w:rsidR="006E5351" w:rsidRPr="006B4E25">
        <w:t>na izenačeni osnovi</w:t>
      </w:r>
      <w:r w:rsidRPr="006B4E25">
        <w:t xml:space="preserve"> kot drugi", ki povezuje vse materialne pravice Konvencije z načelom nediskriminacije. Ljudem z dejanskimi ali zaznanimi okvarami so zanikani njihovo dostojanstvo, integriteta in enakost. Diskriminacija se je pojavljala v preteklosti</w:t>
      </w:r>
      <w:r w:rsidR="00AD5172" w:rsidRPr="006B4E25">
        <w:t xml:space="preserve"> in se</w:t>
      </w:r>
      <w:r w:rsidRPr="006B4E25">
        <w:t xml:space="preserve"> še </w:t>
      </w:r>
      <w:r w:rsidR="00AD5172" w:rsidRPr="006B4E25">
        <w:t>pojavlja</w:t>
      </w:r>
      <w:r w:rsidRPr="006B4E25">
        <w:t>, med drugim tudi v brutalnih oblikah, kot je npr. </w:t>
      </w:r>
      <w:proofErr w:type="spellStart"/>
      <w:r w:rsidRPr="006B4E25">
        <w:t>nesporazumna</w:t>
      </w:r>
      <w:proofErr w:type="spellEnd"/>
      <w:r w:rsidRPr="006B4E25">
        <w:t xml:space="preserve"> </w:t>
      </w:r>
      <w:r w:rsidR="00AD5172" w:rsidRPr="006B4E25">
        <w:t>(</w:t>
      </w:r>
      <w:proofErr w:type="spellStart"/>
      <w:r w:rsidR="00D376E2" w:rsidRPr="006B4E25">
        <w:t>tj</w:t>
      </w:r>
      <w:proofErr w:type="spellEnd"/>
      <w:r w:rsidR="00D376E2" w:rsidRPr="006B4E25">
        <w:t xml:space="preserve"> </w:t>
      </w:r>
      <w:r w:rsidR="00AD5172" w:rsidRPr="006B4E25">
        <w:t xml:space="preserve">brez privolitve) </w:t>
      </w:r>
      <w:r w:rsidRPr="006B4E25">
        <w:t xml:space="preserve">in/ali prisilna sistematična sterilizacija ter medicinski ali hormonski </w:t>
      </w:r>
      <w:r w:rsidR="0061501E" w:rsidRPr="006B4E25">
        <w:t>posegi (npr. </w:t>
      </w:r>
      <w:proofErr w:type="spellStart"/>
      <w:r w:rsidR="0061501E" w:rsidRPr="006B4E25">
        <w:t>lobotomija</w:t>
      </w:r>
      <w:proofErr w:type="spellEnd"/>
      <w:r w:rsidR="0061501E" w:rsidRPr="006B4E25">
        <w:t xml:space="preserve"> ali t. i</w:t>
      </w:r>
      <w:r w:rsidRPr="006B4E25">
        <w:t>. "</w:t>
      </w:r>
      <w:proofErr w:type="spellStart"/>
      <w:r w:rsidRPr="006B4E25">
        <w:t>Ashleyjino</w:t>
      </w:r>
      <w:proofErr w:type="spellEnd"/>
      <w:r w:rsidRPr="006B4E25">
        <w:t xml:space="preserve"> zdravljenje"), prisilno omamljanje in prisilni elektrošoki, odvzem prostosti</w:t>
      </w:r>
      <w:r w:rsidR="00AD5172" w:rsidRPr="006B4E25">
        <w:t xml:space="preserve"> (</w:t>
      </w:r>
      <w:r w:rsidR="00D376E2" w:rsidRPr="006B4E25">
        <w:t xml:space="preserve">tj. </w:t>
      </w:r>
      <w:r w:rsidR="00AD5172" w:rsidRPr="006B4E25">
        <w:t>namestitve)</w:t>
      </w:r>
      <w:r w:rsidRPr="006B4E25">
        <w:t xml:space="preserve">, sistematični umori, ki se jih označi kot "evtanazijo", </w:t>
      </w:r>
      <w:r w:rsidR="00AD5172" w:rsidRPr="006B4E25">
        <w:t xml:space="preserve">nasilni ali </w:t>
      </w:r>
      <w:r w:rsidRPr="006B4E25">
        <w:t xml:space="preserve">prisilni splavi, preprečevanje dostopa do zdravstvenih storitev, pohabljanje ter trgovanje s človeškimi organi, zlasti pri ljudeh z albinizmom. </w:t>
      </w:r>
    </w:p>
    <w:p w14:paraId="07231B23" w14:textId="77777777" w:rsidR="005545DB" w:rsidRPr="006B4E25" w:rsidRDefault="00584594">
      <w:pPr>
        <w:pStyle w:val="HChG"/>
      </w:pPr>
      <w:r w:rsidRPr="006B4E25">
        <w:tab/>
        <w:t>III.</w:t>
      </w:r>
      <w:r w:rsidRPr="006B4E25">
        <w:tab/>
        <w:t xml:space="preserve">Na človekovih pravicah utemeljen model invalidnosti in vključujoča enakost </w:t>
      </w:r>
    </w:p>
    <w:p w14:paraId="07231B24" w14:textId="7CF0D957" w:rsidR="005545DB" w:rsidRPr="006B4E25" w:rsidRDefault="00584594">
      <w:pPr>
        <w:pStyle w:val="SingleTxtG"/>
        <w:numPr>
          <w:ilvl w:val="0"/>
          <w:numId w:val="4"/>
        </w:numPr>
        <w:ind w:left="1134" w:firstLine="0"/>
      </w:pPr>
      <w:r w:rsidRPr="006B4E25">
        <w:t>Posamezni</w:t>
      </w:r>
      <w:r w:rsidR="00D376E2" w:rsidRPr="006B4E25">
        <w:t xml:space="preserve"> (tj. da obstaja le ena invalidnost)</w:t>
      </w:r>
      <w:r w:rsidRPr="006B4E25">
        <w:t xml:space="preserve"> ali medicinski modeli invalidnosti preprečujejo uporabo načela enakosti za ljudi z invalidnostmi. V skladu z medicinskim modelom invalidnosti ljudje z invalidnostmi niso priznani kot </w:t>
      </w:r>
      <w:r w:rsidR="00D376E2" w:rsidRPr="006B4E25">
        <w:t xml:space="preserve">nosilci </w:t>
      </w:r>
      <w:r w:rsidRPr="006B4E25">
        <w:t>pravic, pač pa se jih "</w:t>
      </w:r>
      <w:r w:rsidR="00D376E2" w:rsidRPr="006B4E25">
        <w:t>zreducira</w:t>
      </w:r>
      <w:r w:rsidRPr="006B4E25">
        <w:t xml:space="preserve">" le na </w:t>
      </w:r>
      <w:r w:rsidR="00D376E2" w:rsidRPr="006B4E25">
        <w:t xml:space="preserve">njihove </w:t>
      </w:r>
      <w:r w:rsidRPr="006B4E25">
        <w:t xml:space="preserve">okvare. V okviru teh modelov se diskriminatorno ali </w:t>
      </w:r>
      <w:r w:rsidR="00D176B1" w:rsidRPr="006B4E25">
        <w:t xml:space="preserve">razlikovalno </w:t>
      </w:r>
      <w:r w:rsidRPr="006B4E25">
        <w:t xml:space="preserve">obravnavanje in izključevanje </w:t>
      </w:r>
      <w:r w:rsidR="00D176B1" w:rsidRPr="006B4E25">
        <w:t xml:space="preserve">ljudi z invalidnostmi </w:t>
      </w:r>
      <w:r w:rsidRPr="006B4E25">
        <w:t xml:space="preserve">obravnava kot norma in se </w:t>
      </w:r>
      <w:r w:rsidR="00D176B1" w:rsidRPr="006B4E25">
        <w:t xml:space="preserve">upravičuje </w:t>
      </w:r>
      <w:r w:rsidRPr="006B4E25">
        <w:t xml:space="preserve">z medicinsko vodenim pristopom k invalidnosti, ki temelji na </w:t>
      </w:r>
      <w:r w:rsidR="00D176B1" w:rsidRPr="006B4E25">
        <w:t xml:space="preserve">(ugotovljenih) </w:t>
      </w:r>
      <w:r w:rsidRPr="006B4E25">
        <w:t xml:space="preserve">nezmožnostih. Posamezni ali medicinski modeli so se uporabljali za določitev najzgodnejših mednarodnih zakonov in politik, povezanih z invalidnostjo, tudi po prvih poskusih uporabe koncepta enakosti v kontekstu </w:t>
      </w:r>
      <w:r w:rsidR="00D176B1" w:rsidRPr="006B4E25">
        <w:t xml:space="preserve">(obravnave) </w:t>
      </w:r>
      <w:r w:rsidRPr="006B4E25">
        <w:t xml:space="preserve">invalidnosti. Deklaracija o pravicah duševno zaostalih oseb (1971) in Deklaracija o pravicah </w:t>
      </w:r>
      <w:r w:rsidR="00D176B1" w:rsidRPr="006B4E25">
        <w:t xml:space="preserve">invalidnih oseb </w:t>
      </w:r>
      <w:r w:rsidRPr="006B4E25">
        <w:t xml:space="preserve">(1975) sta bila prva instrumenta človekovih pravic, ki sta vsebovala določbe o enakosti in nediskriminaciji </w:t>
      </w:r>
      <w:r w:rsidR="00D176B1" w:rsidRPr="006B4E25">
        <w:t>ljudi z invalidnostmi</w:t>
      </w:r>
      <w:r w:rsidRPr="006B4E25">
        <w:t xml:space="preserve">. Ti prvi </w:t>
      </w:r>
      <w:r w:rsidR="00FB2AA6" w:rsidRPr="006B4E25">
        <w:t xml:space="preserve">instrumenti </w:t>
      </w:r>
      <w:r w:rsidRPr="006B4E25">
        <w:t xml:space="preserve">mehkega </w:t>
      </w:r>
      <w:r w:rsidR="00FB2AA6" w:rsidRPr="006B4E25">
        <w:t xml:space="preserve">(v angl., </w:t>
      </w:r>
      <w:proofErr w:type="spellStart"/>
      <w:r w:rsidR="00FB2AA6" w:rsidRPr="006B4E25">
        <w:t>soft</w:t>
      </w:r>
      <w:proofErr w:type="spellEnd"/>
      <w:r w:rsidR="00FB2AA6" w:rsidRPr="006B4E25">
        <w:t xml:space="preserve">, tj. </w:t>
      </w:r>
      <w:proofErr w:type="spellStart"/>
      <w:r w:rsidR="00FB2AA6" w:rsidRPr="006B4E25">
        <w:t>nezavezujočega</w:t>
      </w:r>
      <w:proofErr w:type="spellEnd"/>
      <w:r w:rsidR="00FB2AA6" w:rsidRPr="006B4E25">
        <w:t xml:space="preserve">) </w:t>
      </w:r>
      <w:r w:rsidRPr="006B4E25">
        <w:t xml:space="preserve">prava na področju človekovih pravic so sicer </w:t>
      </w:r>
      <w:r w:rsidR="00FB2AA6" w:rsidRPr="006B4E25">
        <w:t>tlakovali pot za</w:t>
      </w:r>
      <w:r w:rsidRPr="006B4E25">
        <w:t xml:space="preserve"> </w:t>
      </w:r>
      <w:r w:rsidR="00FB2AA6" w:rsidRPr="006B4E25">
        <w:t xml:space="preserve">uporabo (tj. </w:t>
      </w:r>
      <w:proofErr w:type="spellStart"/>
      <w:r w:rsidR="00FB2AA6" w:rsidRPr="006B4E25">
        <w:t>kontekstualizacijo</w:t>
      </w:r>
      <w:proofErr w:type="spellEnd"/>
      <w:r w:rsidR="00FB2AA6" w:rsidRPr="006B4E25">
        <w:t xml:space="preserve">) </w:t>
      </w:r>
      <w:r w:rsidRPr="006B4E25">
        <w:t xml:space="preserve">enakosti </w:t>
      </w:r>
      <w:r w:rsidR="00FB2AA6" w:rsidRPr="006B4E25">
        <w:t>pri obravnavi</w:t>
      </w:r>
      <w:r w:rsidRPr="006B4E25">
        <w:t xml:space="preserve"> invalidnosti, vendar so kljub temu še vedno temeljili na medicinskem modelu invalidnosti, saj j</w:t>
      </w:r>
      <w:r w:rsidR="007D6FAC" w:rsidRPr="006B4E25">
        <w:t>e</w:t>
      </w:r>
      <w:r w:rsidRPr="006B4E25">
        <w:t xml:space="preserve"> bila </w:t>
      </w:r>
      <w:r w:rsidR="00FB2AA6" w:rsidRPr="006B4E25">
        <w:t xml:space="preserve">okvara </w:t>
      </w:r>
      <w:r w:rsidRPr="006B4E25">
        <w:t>obravnavana kot legitim</w:t>
      </w:r>
      <w:r w:rsidR="00FB2AA6" w:rsidRPr="006B4E25">
        <w:t>e</w:t>
      </w:r>
      <w:r w:rsidRPr="006B4E25">
        <w:t xml:space="preserve">n </w:t>
      </w:r>
      <w:r w:rsidR="00FB2AA6" w:rsidRPr="006B4E25">
        <w:t xml:space="preserve">razlog </w:t>
      </w:r>
      <w:r w:rsidRPr="006B4E25">
        <w:t xml:space="preserve">za omejevanje ali zanikanje pravic. V </w:t>
      </w:r>
      <w:r w:rsidR="00EB3AFE" w:rsidRPr="006B4E25">
        <w:t>teh in</w:t>
      </w:r>
      <w:r w:rsidR="00B17D17" w:rsidRPr="006B4E25">
        <w:t>st</w:t>
      </w:r>
      <w:r w:rsidR="00EB3AFE" w:rsidRPr="006B4E25">
        <w:t>r</w:t>
      </w:r>
      <w:r w:rsidR="00B17D17" w:rsidRPr="006B4E25">
        <w:t>u</w:t>
      </w:r>
      <w:r w:rsidR="00EB3AFE" w:rsidRPr="006B4E25">
        <w:t xml:space="preserve">mentih </w:t>
      </w:r>
      <w:r w:rsidRPr="006B4E25">
        <w:t xml:space="preserve">se uporablja tudi terminologija, ki zdaj šteje za neprimerno ali zastarelo. Nadaljnji korak je bil storjen leta 1993 s sprejetjem Standardnih pravil za izenačevanje možnosti za </w:t>
      </w:r>
      <w:r w:rsidR="00EB3AFE" w:rsidRPr="006B4E25">
        <w:t>ljudi z invalidnostmi</w:t>
      </w:r>
      <w:r w:rsidRPr="006B4E25">
        <w:t xml:space="preserve">, v katerih so "enake možnosti" razglašene za temeljni koncept politik in zakonov s področja invalidnosti. </w:t>
      </w:r>
    </w:p>
    <w:p w14:paraId="07231B25" w14:textId="728DC200" w:rsidR="005545DB" w:rsidRPr="006B4E25" w:rsidRDefault="00584594">
      <w:pPr>
        <w:pStyle w:val="SingleTxtG"/>
        <w:numPr>
          <w:ilvl w:val="0"/>
          <w:numId w:val="4"/>
        </w:numPr>
        <w:ind w:left="1134" w:firstLine="0"/>
      </w:pPr>
      <w:r w:rsidRPr="006B4E25">
        <w:lastRenderedPageBreak/>
        <w:t>Na človekovih pravicah utemeljen model invalidnosti priznava, da je invalidnost socialni konstrukt in da je ne smemo jemati kot legitim</w:t>
      </w:r>
      <w:r w:rsidR="00EB3AFE" w:rsidRPr="006B4E25">
        <w:t>e</w:t>
      </w:r>
      <w:r w:rsidRPr="006B4E25">
        <w:t xml:space="preserve">n </w:t>
      </w:r>
      <w:r w:rsidR="00EB3AFE" w:rsidRPr="006B4E25">
        <w:t xml:space="preserve">razlog </w:t>
      </w:r>
      <w:r w:rsidRPr="006B4E25">
        <w:t xml:space="preserve">za zanikanje ali omejevanje človekovih pravic. Priznava, da je invalidnost le ena od več plasti človekove identitete. Zato je treba v zakonih in politikah upoštevati raznolikost ljudi z invalidnostmi. Priznava tudi, da so človekove pravice soodvisne, medsebojno povezane in nedeljive. </w:t>
      </w:r>
    </w:p>
    <w:p w14:paraId="07231B26" w14:textId="18FB6461" w:rsidR="005545DB" w:rsidRPr="006B4E25" w:rsidRDefault="00584594">
      <w:pPr>
        <w:pStyle w:val="SingleTxtG"/>
        <w:numPr>
          <w:ilvl w:val="0"/>
          <w:numId w:val="4"/>
        </w:numPr>
        <w:ind w:left="1080" w:firstLine="0"/>
      </w:pPr>
      <w:r w:rsidRPr="006B4E25">
        <w:t xml:space="preserve">Izenačevanje možnosti kot splošno načelo Konvencije v skladu z njenim 4. členom predstavlja pomemben </w:t>
      </w:r>
      <w:r w:rsidR="00B17D17" w:rsidRPr="006B4E25">
        <w:t xml:space="preserve">razvoj iz </w:t>
      </w:r>
      <w:r w:rsidRPr="006B4E25">
        <w:t xml:space="preserve">s formalnega modela enakosti na vsebinski model enakosti. Formalna enakost si prizadeva </w:t>
      </w:r>
      <w:r w:rsidR="00B17D17" w:rsidRPr="006B4E25">
        <w:t>boriti se</w:t>
      </w:r>
      <w:r w:rsidRPr="006B4E25">
        <w:t xml:space="preserve"> proti neposredni diskriminaciji tako, da se osebe v podobni situaciji obravnavajo na podoben način. Lahko pomaga </w:t>
      </w:r>
      <w:r w:rsidR="00B17D17" w:rsidRPr="006B4E25">
        <w:t>tudi boriti se</w:t>
      </w:r>
      <w:r w:rsidRPr="006B4E25">
        <w:t xml:space="preserve"> proti negativnim stereotipom in predsodkom, </w:t>
      </w:r>
      <w:r w:rsidR="00B17D17" w:rsidRPr="006B4E25">
        <w:t xml:space="preserve">a </w:t>
      </w:r>
      <w:r w:rsidRPr="006B4E25">
        <w:t xml:space="preserve">ne more </w:t>
      </w:r>
      <w:r w:rsidR="00B17D17" w:rsidRPr="006B4E25">
        <w:t>ponuditi</w:t>
      </w:r>
      <w:r w:rsidRPr="006B4E25">
        <w:t xml:space="preserve"> rešitev za "dilemo </w:t>
      </w:r>
      <w:r w:rsidR="006B4E25" w:rsidRPr="006B4E25">
        <w:t xml:space="preserve">različnosti”, saj </w:t>
      </w:r>
      <w:r w:rsidRPr="006B4E25">
        <w:t xml:space="preserve">ne upošteva in ne sprejema razlik med ljudmi. Nasprotno pa si vsebinska enakost prizadeva tudi za obravnavo strukturne in posredne diskriminacije ter upošteva razmerja moči. </w:t>
      </w:r>
      <w:r w:rsidR="00B058A3" w:rsidRPr="006B4E25">
        <w:t>Vsebinska</w:t>
      </w:r>
      <w:r w:rsidRPr="006B4E25">
        <w:t xml:space="preserve"> enakost priznava, da je treba za razreševanje "dileme </w:t>
      </w:r>
      <w:r w:rsidR="006B4E25" w:rsidRPr="006B4E25">
        <w:t>različnosti”</w:t>
      </w:r>
      <w:r w:rsidRPr="006B4E25">
        <w:t xml:space="preserve"> </w:t>
      </w:r>
      <w:r w:rsidR="00B058A3" w:rsidRPr="006B4E25">
        <w:t xml:space="preserve">oboje: </w:t>
      </w:r>
      <w:r w:rsidRPr="006B4E25">
        <w:t>prezreti in priznavati razlike med ljudmi</w:t>
      </w:r>
      <w:r w:rsidR="00B058A3" w:rsidRPr="006B4E25">
        <w:t>, zato da se lahko doseže enakost</w:t>
      </w:r>
      <w:r w:rsidRPr="006B4E25">
        <w:t>.</w:t>
      </w:r>
    </w:p>
    <w:p w14:paraId="07231B27" w14:textId="33CE0787" w:rsidR="005545DB" w:rsidRPr="006B4E25" w:rsidRDefault="00584594">
      <w:pPr>
        <w:pStyle w:val="SingleTxtG"/>
        <w:numPr>
          <w:ilvl w:val="0"/>
          <w:numId w:val="4"/>
        </w:numPr>
        <w:ind w:left="1080" w:firstLine="0"/>
      </w:pPr>
      <w:r w:rsidRPr="006B4E25">
        <w:t xml:space="preserve">Vključujoča enakost je nov model enakosti, ki se je razvil </w:t>
      </w:r>
      <w:r w:rsidR="006B4E25">
        <w:t xml:space="preserve">skozi </w:t>
      </w:r>
      <w:r w:rsidR="00B058A3" w:rsidRPr="006B4E25">
        <w:t>Konvenci</w:t>
      </w:r>
      <w:r w:rsidR="006B4E25">
        <w:t>jo</w:t>
      </w:r>
      <w:r w:rsidRPr="006B4E25">
        <w:t xml:space="preserve">. </w:t>
      </w:r>
      <w:r w:rsidR="00B058A3" w:rsidRPr="006B4E25">
        <w:t xml:space="preserve">Sprejema </w:t>
      </w:r>
      <w:r w:rsidRPr="006B4E25">
        <w:t xml:space="preserve">vsebinski model enakosti ter obenem razširja in dodatno pojasnjuje vsebino enakosti v odnosu do: (a) dimenzije pravične </w:t>
      </w:r>
      <w:r w:rsidR="002A11FC" w:rsidRPr="006B4E25">
        <w:t>prerazdeli</w:t>
      </w:r>
      <w:r w:rsidR="006318FB">
        <w:t>t</w:t>
      </w:r>
      <w:r w:rsidR="002A11FC" w:rsidRPr="006B4E25">
        <w:t xml:space="preserve">ve </w:t>
      </w:r>
      <w:r w:rsidRPr="006B4E25">
        <w:t>za obravnavanje soci</w:t>
      </w:r>
      <w:r w:rsidR="002A11FC" w:rsidRPr="006B4E25">
        <w:t>aln</w:t>
      </w:r>
      <w:r w:rsidRPr="006B4E25">
        <w:t xml:space="preserve">o-ekonomske prikrajšanosti; (b) dimenzije </w:t>
      </w:r>
      <w:r w:rsidR="00C95576" w:rsidRPr="006B4E25">
        <w:t>prizna(</w:t>
      </w:r>
      <w:proofErr w:type="spellStart"/>
      <w:r w:rsidR="00C95576" w:rsidRPr="006B4E25">
        <w:t>va</w:t>
      </w:r>
      <w:proofErr w:type="spellEnd"/>
      <w:r w:rsidR="00C95576" w:rsidRPr="006B4E25">
        <w:t>)</w:t>
      </w:r>
      <w:proofErr w:type="spellStart"/>
      <w:r w:rsidR="00C95576" w:rsidRPr="006B4E25">
        <w:t>nja</w:t>
      </w:r>
      <w:proofErr w:type="spellEnd"/>
      <w:r w:rsidR="00C95576" w:rsidRPr="006B4E25">
        <w:t>, ki se bori</w:t>
      </w:r>
      <w:r w:rsidRPr="006B4E25">
        <w:t xml:space="preserve"> proti stigmi, </w:t>
      </w:r>
      <w:proofErr w:type="spellStart"/>
      <w:r w:rsidR="00C95576" w:rsidRPr="006B4E25">
        <w:t>stereotipiziranju</w:t>
      </w:r>
      <w:proofErr w:type="spellEnd"/>
      <w:r w:rsidRPr="006B4E25">
        <w:t>, predsodkom in nasilju ter pr</w:t>
      </w:r>
      <w:r w:rsidR="00C95576" w:rsidRPr="006B4E25">
        <w:t>i</w:t>
      </w:r>
      <w:r w:rsidRPr="006B4E25">
        <w:t xml:space="preserve">znava </w:t>
      </w:r>
      <w:r w:rsidR="00C95576" w:rsidRPr="006B4E25">
        <w:t>dostojanstvo ljudi in njihovo</w:t>
      </w:r>
      <w:r w:rsidRPr="006B4E25">
        <w:t xml:space="preserve"> </w:t>
      </w:r>
      <w:proofErr w:type="spellStart"/>
      <w:r w:rsidRPr="006B4E25">
        <w:t>intersekcionalnost</w:t>
      </w:r>
      <w:proofErr w:type="spellEnd"/>
      <w:r w:rsidRPr="006B4E25">
        <w:t xml:space="preserve">; (c) dimenzije sodelovanja, s katero se </w:t>
      </w:r>
      <w:r w:rsidR="00C95576" w:rsidRPr="006B4E25">
        <w:t>utrjuje</w:t>
      </w:r>
      <w:r w:rsidR="006318FB">
        <w:t xml:space="preserve"> </w:t>
      </w:r>
      <w:r w:rsidR="00C95576" w:rsidRPr="006B4E25">
        <w:t xml:space="preserve">družbena </w:t>
      </w:r>
      <w:r w:rsidRPr="006B4E25">
        <w:t xml:space="preserve">narava ljudi kot članov družbenih skupin ter v celoti prepozna </w:t>
      </w:r>
      <w:r w:rsidR="00C95576" w:rsidRPr="006B4E25">
        <w:t xml:space="preserve">(njihova) </w:t>
      </w:r>
      <w:r w:rsidRPr="006B4E25">
        <w:t>človečn</w:t>
      </w:r>
      <w:r w:rsidR="00C96A78" w:rsidRPr="006B4E25">
        <w:t xml:space="preserve">ost </w:t>
      </w:r>
      <w:r w:rsidR="00C95576" w:rsidRPr="006B4E25">
        <w:t xml:space="preserve">prek vključevanja </w:t>
      </w:r>
      <w:r w:rsidR="00C96A78" w:rsidRPr="006B4E25">
        <w:t>v družbo</w:t>
      </w:r>
      <w:r w:rsidRPr="006B4E25">
        <w:t xml:space="preserve"> in (d) dimenzije prilagoditve, </w:t>
      </w:r>
      <w:r w:rsidR="0099400C" w:rsidRPr="006B4E25">
        <w:t>daje</w:t>
      </w:r>
      <w:r w:rsidRPr="006B4E25">
        <w:t xml:space="preserve"> prostor za razlike kot</w:t>
      </w:r>
      <w:r w:rsidR="006318FB">
        <w:t xml:space="preserve"> </w:t>
      </w:r>
      <w:r w:rsidRPr="006B4E25">
        <w:t xml:space="preserve">vprašanje </w:t>
      </w:r>
      <w:r w:rsidR="0099400C" w:rsidRPr="006B4E25">
        <w:t xml:space="preserve">(spoštovanja) </w:t>
      </w:r>
      <w:r w:rsidRPr="006B4E25">
        <w:t>človeškega dostojanstva. Konvencija temelji na vključujoči enakosti.</w:t>
      </w:r>
    </w:p>
    <w:p w14:paraId="07231B28" w14:textId="55815558" w:rsidR="005545DB" w:rsidRPr="006B4E25" w:rsidRDefault="00584594">
      <w:pPr>
        <w:pStyle w:val="HChG"/>
      </w:pPr>
      <w:r w:rsidRPr="006B4E25">
        <w:tab/>
        <w:t>IV.</w:t>
      </w:r>
      <w:r w:rsidRPr="006B4E25">
        <w:tab/>
        <w:t>Pravni značaj nediskriminacije in enakosti</w:t>
      </w:r>
    </w:p>
    <w:p w14:paraId="07231B29" w14:textId="49A305EA" w:rsidR="005545DB" w:rsidRPr="006B4E25" w:rsidRDefault="00584594">
      <w:pPr>
        <w:pStyle w:val="SingleTxtG"/>
        <w:numPr>
          <w:ilvl w:val="0"/>
          <w:numId w:val="4"/>
        </w:numPr>
        <w:ind w:left="1134" w:firstLine="0"/>
      </w:pPr>
      <w:r w:rsidRPr="006B4E25">
        <w:t xml:space="preserve">Enakost in nediskriminacija sta načeli in pravici. V 3. členu Konvencije sta navedeni kot načeli, v 5. členu Konvencije pa kot pravici. Predstavljata tudi razlagalno orodje za vsa druga načela in pravice, določene v Konvenciji. Načeli/pravici </w:t>
      </w:r>
      <w:r w:rsidR="00681187" w:rsidRPr="006B4E25">
        <w:t xml:space="preserve">do </w:t>
      </w:r>
      <w:r w:rsidRPr="006B4E25">
        <w:t xml:space="preserve">enakosti in nediskriminacije sta temelj mednarodne zaščite, ki jo zagotavlja Konvencija. Spodbujanje enakosti in spopadanje z diskriminacijo sta </w:t>
      </w:r>
      <w:r w:rsidR="00681187" w:rsidRPr="006B4E25">
        <w:t>presečni obveznosti</w:t>
      </w:r>
      <w:r w:rsidRPr="006B4E25">
        <w:t xml:space="preserve">, ki </w:t>
      </w:r>
      <w:r w:rsidR="00681187" w:rsidRPr="006B4E25">
        <w:t xml:space="preserve">se uresničujeta </w:t>
      </w:r>
      <w:r w:rsidRPr="006B4E25">
        <w:t>takoj. Nista predmet postopnega uresničevanja</w:t>
      </w:r>
      <w:r w:rsidRPr="006B4E25">
        <w:rPr>
          <w:b/>
        </w:rPr>
        <w:t>.</w:t>
      </w:r>
    </w:p>
    <w:p w14:paraId="07231B2A" w14:textId="164BCCCB" w:rsidR="005545DB" w:rsidRPr="006B4E25" w:rsidRDefault="00584594">
      <w:pPr>
        <w:pStyle w:val="SingleTxtG"/>
        <w:numPr>
          <w:ilvl w:val="0"/>
          <w:numId w:val="4"/>
        </w:numPr>
        <w:ind w:left="1134" w:firstLine="0"/>
      </w:pPr>
      <w:r w:rsidRPr="006B4E25">
        <w:t xml:space="preserve">5. člen Konvencije podobno kot 26. člen Mednarodnega pakta o državljanskih in političnih pravicah že sam </w:t>
      </w:r>
      <w:r w:rsidR="00681187" w:rsidRPr="006B4E25">
        <w:t>zase</w:t>
      </w:r>
      <w:r w:rsidRPr="006B4E25">
        <w:t xml:space="preserve"> zagotavlja samostojno pravico, ki je neodvisna od ostalih določb. Prepoveduje pravno</w:t>
      </w:r>
      <w:r w:rsidR="00681187" w:rsidRPr="006B4E25">
        <w:t xml:space="preserve"> (</w:t>
      </w:r>
      <w:r w:rsidR="00375477" w:rsidRPr="006B4E25">
        <w:t xml:space="preserve">v izvirniku: </w:t>
      </w:r>
      <w:r w:rsidR="00681187" w:rsidRPr="006B4E25">
        <w:t xml:space="preserve">de </w:t>
      </w:r>
      <w:proofErr w:type="spellStart"/>
      <w:r w:rsidR="00681187" w:rsidRPr="006B4E25">
        <w:t>iure</w:t>
      </w:r>
      <w:proofErr w:type="spellEnd"/>
      <w:r w:rsidR="00681187" w:rsidRPr="006B4E25">
        <w:t>)</w:t>
      </w:r>
      <w:r w:rsidRPr="006B4E25">
        <w:t xml:space="preserve"> ali dejansko </w:t>
      </w:r>
      <w:r w:rsidR="00681187" w:rsidRPr="006B4E25">
        <w:t>(</w:t>
      </w:r>
      <w:r w:rsidR="00375477" w:rsidRPr="006B4E25">
        <w:t xml:space="preserve">v izvirniku: </w:t>
      </w:r>
      <w:r w:rsidR="00681187" w:rsidRPr="006B4E25">
        <w:t xml:space="preserve">de </w:t>
      </w:r>
      <w:proofErr w:type="spellStart"/>
      <w:r w:rsidR="00681187" w:rsidRPr="006B4E25">
        <w:t>facto</w:t>
      </w:r>
      <w:proofErr w:type="spellEnd"/>
      <w:r w:rsidR="00681187" w:rsidRPr="006B4E25">
        <w:t xml:space="preserve">) </w:t>
      </w:r>
      <w:r w:rsidRPr="006B4E25">
        <w:t xml:space="preserve">diskriminacijo na katerem koli področju, ki ga ureja in varuje </w:t>
      </w:r>
      <w:r w:rsidR="00681187" w:rsidRPr="006B4E25">
        <w:t>javna oblast</w:t>
      </w:r>
      <w:r w:rsidRPr="006B4E25">
        <w:t>. V povezavi s členom 4(1)(e) je jasno razvidno tudi, da se nanaša tudi na zasebni sektor.</w:t>
      </w:r>
    </w:p>
    <w:p w14:paraId="07231B2B" w14:textId="26AC86D8" w:rsidR="005545DB" w:rsidRPr="006B4E25" w:rsidRDefault="00584594">
      <w:pPr>
        <w:pStyle w:val="HChG"/>
      </w:pPr>
      <w:r w:rsidRPr="006B4E25">
        <w:tab/>
        <w:t>V.</w:t>
      </w:r>
      <w:r w:rsidRPr="006B4E25">
        <w:tab/>
        <w:t>Normativna vsebina</w:t>
      </w:r>
    </w:p>
    <w:p w14:paraId="07231B2C" w14:textId="2D4398BC" w:rsidR="005545DB" w:rsidRPr="006B4E25" w:rsidRDefault="00584594">
      <w:pPr>
        <w:pStyle w:val="H1G"/>
      </w:pPr>
      <w:r w:rsidRPr="006B4E25">
        <w:tab/>
        <w:t>A.</w:t>
      </w:r>
      <w:r w:rsidRPr="006B4E25">
        <w:tab/>
        <w:t xml:space="preserve">Člen 5(1) o enakosti v očeh zakona in enakosti pred zakonom </w:t>
      </w:r>
    </w:p>
    <w:p w14:paraId="07231B2D" w14:textId="1B5D13C0" w:rsidR="005545DB" w:rsidRPr="006B4E25" w:rsidRDefault="00584594">
      <w:pPr>
        <w:pStyle w:val="SingleTxtG"/>
        <w:numPr>
          <w:ilvl w:val="0"/>
          <w:numId w:val="4"/>
        </w:numPr>
        <w:ind w:left="1134" w:firstLine="0"/>
      </w:pPr>
      <w:r w:rsidRPr="006B4E25">
        <w:t>Več mednarodnih pogodb o človekovih pravicah vključuje izraz "enak(i) pred zakonom", ki opisuje pravico ljudi do enakega obravnavanja pred zakonom ter pri uporabi prava</w:t>
      </w:r>
      <w:r w:rsidR="009F2E8A" w:rsidRPr="006B4E25">
        <w:t>,</w:t>
      </w:r>
      <w:r w:rsidRPr="006B4E25">
        <w:t xml:space="preserve"> kot </w:t>
      </w:r>
      <w:r w:rsidR="009F2E8A" w:rsidRPr="006B4E25">
        <w:t>področje</w:t>
      </w:r>
      <w:r w:rsidRPr="006B4E25">
        <w:t>. Da bi se ta pravica lahko</w:t>
      </w:r>
      <w:r w:rsidR="009F2E8A" w:rsidRPr="006B4E25">
        <w:t xml:space="preserve"> polno</w:t>
      </w:r>
      <w:r w:rsidRPr="006B4E25">
        <w:t xml:space="preserve"> uresničila, sodstvo in organi pregona ne smejo diskriminirati invalidnih oseb pri izvajanju oblasti</w:t>
      </w:r>
      <w:r w:rsidR="009F2E8A" w:rsidRPr="006B4E25">
        <w:t xml:space="preserve"> oz. uporabe prava</w:t>
      </w:r>
      <w:r w:rsidRPr="006B4E25">
        <w:t xml:space="preserve">. </w:t>
      </w:r>
      <w:r w:rsidR="009F2E8A" w:rsidRPr="006B4E25">
        <w:t xml:space="preserve">Izraz </w:t>
      </w:r>
      <w:r w:rsidRPr="006B4E25">
        <w:t xml:space="preserve">"Enakost </w:t>
      </w:r>
      <w:r w:rsidR="00204571" w:rsidRPr="006B4E25">
        <w:t>v okviru</w:t>
      </w:r>
      <w:r w:rsidR="009F2E8A" w:rsidRPr="006B4E25">
        <w:t xml:space="preserve"> </w:t>
      </w:r>
      <w:r w:rsidRPr="006B4E25">
        <w:t xml:space="preserve">zakon" je edinstvena </w:t>
      </w:r>
      <w:r w:rsidR="009F2E8A" w:rsidRPr="006B4E25">
        <w:t>rešitev v Konvenciji</w:t>
      </w:r>
      <w:r w:rsidRPr="006B4E25">
        <w:t xml:space="preserve">. Nanaša se na možnost </w:t>
      </w:r>
      <w:r w:rsidR="009F2E8A" w:rsidRPr="006B4E25">
        <w:t xml:space="preserve">udeležbe v </w:t>
      </w:r>
      <w:r w:rsidRPr="006B4E25">
        <w:t>pravnih razmerj</w:t>
      </w:r>
      <w:r w:rsidR="009F2E8A" w:rsidRPr="006B4E25">
        <w:t>ih</w:t>
      </w:r>
      <w:r w:rsidRPr="006B4E25">
        <w:t xml:space="preserve">. </w:t>
      </w:r>
      <w:r w:rsidR="00243D46" w:rsidRPr="006B4E25">
        <w:t>Med tem ko se e</w:t>
      </w:r>
      <w:r w:rsidRPr="006B4E25">
        <w:t xml:space="preserve">nakost pred zakonom nanaša na pravico </w:t>
      </w:r>
      <w:r w:rsidR="009F2E8A" w:rsidRPr="006B4E25">
        <w:t xml:space="preserve">do pravnega </w:t>
      </w:r>
      <w:r w:rsidRPr="006B4E25">
        <w:t>varstva</w:t>
      </w:r>
      <w:r w:rsidR="00243D46" w:rsidRPr="006B4E25">
        <w:t xml:space="preserve"> (z zakoni)</w:t>
      </w:r>
      <w:r w:rsidRPr="006B4E25">
        <w:t xml:space="preserve">, enakost </w:t>
      </w:r>
      <w:r w:rsidR="00204571" w:rsidRPr="006B4E25">
        <w:t>v okviru</w:t>
      </w:r>
      <w:r w:rsidRPr="006B4E25">
        <w:t xml:space="preserve"> </w:t>
      </w:r>
      <w:r w:rsidR="00243D46" w:rsidRPr="006B4E25">
        <w:t>zakon</w:t>
      </w:r>
      <w:r w:rsidR="00204571" w:rsidRPr="006B4E25">
        <w:t>a</w:t>
      </w:r>
      <w:r w:rsidR="00243D46" w:rsidRPr="006B4E25">
        <w:t xml:space="preserve"> pomeni</w:t>
      </w:r>
      <w:r w:rsidRPr="006B4E25">
        <w:t xml:space="preserve"> pravico do uporabe zakona </w:t>
      </w:r>
      <w:r w:rsidR="00243D46" w:rsidRPr="006B4E25">
        <w:t xml:space="preserve">(oblikovanja prava) </w:t>
      </w:r>
      <w:r w:rsidRPr="006B4E25">
        <w:t xml:space="preserve">v osebno korist. </w:t>
      </w:r>
      <w:r w:rsidR="00243D46" w:rsidRPr="006B4E25">
        <w:t xml:space="preserve">Ljudje z invalidnostmi </w:t>
      </w:r>
      <w:r w:rsidRPr="006B4E25">
        <w:t xml:space="preserve">imajo pravico do učinkovite zaščite in do pozitivnega vključevanja. Zakon mora sam po sebi zagotavljati dejansko enakost vseh, ki spadajo v določeno </w:t>
      </w:r>
      <w:r w:rsidR="00243D46" w:rsidRPr="006B4E25">
        <w:t>jurisdikcijo</w:t>
      </w:r>
      <w:r w:rsidRPr="006B4E25">
        <w:t xml:space="preserve">. Zato priznanje, da so vsi ljudje z invalidnostmi enaki </w:t>
      </w:r>
      <w:r w:rsidR="00204571" w:rsidRPr="006B4E25">
        <w:t xml:space="preserve">v okviru </w:t>
      </w:r>
      <w:r w:rsidR="00243D46" w:rsidRPr="006B4E25">
        <w:t>zakon</w:t>
      </w:r>
      <w:r w:rsidR="00204571" w:rsidRPr="006B4E25">
        <w:t>a</w:t>
      </w:r>
      <w:r w:rsidRPr="006B4E25">
        <w:t xml:space="preserve"> pomeni, da nobeni zakoni ne bi smeli dopuščati posebnega zanikanja, omejitve ali o</w:t>
      </w:r>
      <w:r w:rsidR="00C96A78" w:rsidRPr="006B4E25">
        <w:t>mejevanja ljudi z invalidnostmi</w:t>
      </w:r>
      <w:r w:rsidRPr="006B4E25">
        <w:t xml:space="preserve"> ter da mora biti invalidnost </w:t>
      </w:r>
      <w:r w:rsidR="0073706C" w:rsidRPr="006B4E25">
        <w:t>vpeta (</w:t>
      </w:r>
      <w:r w:rsidR="00022AEE" w:rsidRPr="006B4E25">
        <w:t xml:space="preserve">v </w:t>
      </w:r>
      <w:r w:rsidR="0073706C" w:rsidRPr="006B4E25">
        <w:t xml:space="preserve">angl. </w:t>
      </w:r>
      <w:proofErr w:type="spellStart"/>
      <w:r w:rsidR="0073706C" w:rsidRPr="006B4E25">
        <w:t>mainstreamed</w:t>
      </w:r>
      <w:proofErr w:type="spellEnd"/>
      <w:r w:rsidR="0073706C" w:rsidRPr="006B4E25">
        <w:t xml:space="preserve">, tj. sistematično integrirana) </w:t>
      </w:r>
      <w:r w:rsidRPr="006B4E25">
        <w:t xml:space="preserve">v celotno zakonodajo ter v vse politike. </w:t>
      </w:r>
    </w:p>
    <w:p w14:paraId="07231B2E" w14:textId="6E22204C" w:rsidR="005545DB" w:rsidRPr="006B4E25" w:rsidRDefault="00584594">
      <w:pPr>
        <w:pStyle w:val="SingleTxtG"/>
        <w:numPr>
          <w:ilvl w:val="0"/>
          <w:numId w:val="4"/>
        </w:numPr>
        <w:ind w:left="1134" w:firstLine="0"/>
      </w:pPr>
      <w:r w:rsidRPr="006B4E25">
        <w:lastRenderedPageBreak/>
        <w:t>Takšna razlaga izrazov "</w:t>
      </w:r>
      <w:r w:rsidR="0073706C" w:rsidRPr="006B4E25">
        <w:t xml:space="preserve">biti </w:t>
      </w:r>
      <w:r w:rsidRPr="006B4E25">
        <w:t>enak pred zakonom" in "</w:t>
      </w:r>
      <w:r w:rsidR="0073706C" w:rsidRPr="006B4E25">
        <w:t xml:space="preserve">biti </w:t>
      </w:r>
      <w:r w:rsidRPr="006B4E25">
        <w:t xml:space="preserve">enak </w:t>
      </w:r>
      <w:r w:rsidR="00204571" w:rsidRPr="006B4E25">
        <w:t>v okviru</w:t>
      </w:r>
      <w:r w:rsidR="00886C8F">
        <w:t xml:space="preserve"> </w:t>
      </w:r>
      <w:r w:rsidR="0073706C" w:rsidRPr="006B4E25">
        <w:t>zakon</w:t>
      </w:r>
      <w:r w:rsidR="00204571" w:rsidRPr="006B4E25">
        <w:t>a</w:t>
      </w:r>
      <w:r w:rsidRPr="006B4E25">
        <w:t xml:space="preserve">" je v skladu s </w:t>
      </w:r>
      <w:r w:rsidR="0073706C" w:rsidRPr="006B4E25">
        <w:t xml:space="preserve">določbama </w:t>
      </w:r>
      <w:r w:rsidRPr="006B4E25">
        <w:t>4(1)(b)-(c) Konvencije, v skladu s katerima morajo države pogodbenice zagotoviti, da bodo javni organi in institucije ravnali v skladu s Konvencijo; da bodo spremenili ali odpravili obstoječe zakone, predpise, navade in prakse, ki predstavljajo diskriminacijo zoper ljudi z invalidnostm</w:t>
      </w:r>
      <w:r w:rsidR="009C5E71" w:rsidRPr="006B4E25">
        <w:t>i</w:t>
      </w:r>
      <w:r w:rsidRPr="006B4E25">
        <w:t xml:space="preserve"> in da se v vseh politikah in programih upošteva varovanje in spodbujanje pravic ljudi z invalidnostmi.</w:t>
      </w:r>
    </w:p>
    <w:p w14:paraId="07231B2F" w14:textId="2E3DEA30" w:rsidR="005545DB" w:rsidRPr="006B4E25" w:rsidRDefault="00584594">
      <w:pPr>
        <w:pStyle w:val="H1G"/>
      </w:pPr>
      <w:r w:rsidRPr="006B4E25">
        <w:tab/>
        <w:t>B.</w:t>
      </w:r>
      <w:r w:rsidRPr="006B4E25">
        <w:tab/>
        <w:t xml:space="preserve">Člen 5(1) o </w:t>
      </w:r>
      <w:r w:rsidR="00737A67" w:rsidRPr="006B4E25">
        <w:t>enaki zaščiti in koristih na podlagi prava</w:t>
      </w:r>
      <w:r w:rsidR="00886C8F">
        <w:t>,</w:t>
      </w:r>
      <w:r w:rsidR="00737A67" w:rsidRPr="006B4E25">
        <w:t xml:space="preserve"> </w:t>
      </w:r>
      <w:r w:rsidRPr="006B4E25">
        <w:t>pravnem varstvu in zakonskih ugodnostih</w:t>
      </w:r>
    </w:p>
    <w:p w14:paraId="07231B30" w14:textId="3589B468" w:rsidR="005545DB" w:rsidRPr="006B4E25" w:rsidRDefault="00584594">
      <w:pPr>
        <w:pStyle w:val="SingleTxtG"/>
        <w:numPr>
          <w:ilvl w:val="0"/>
          <w:numId w:val="4"/>
        </w:numPr>
        <w:ind w:left="1134" w:firstLine="0"/>
        <w:rPr>
          <w:b/>
        </w:rPr>
      </w:pPr>
      <w:r w:rsidRPr="006B4E25">
        <w:t>Izraza "</w:t>
      </w:r>
      <w:r w:rsidR="00204571" w:rsidRPr="006B4E25">
        <w:t xml:space="preserve">enaka zaščita na podlagi prava </w:t>
      </w:r>
      <w:r w:rsidRPr="006B4E25">
        <w:t xml:space="preserve">" in "enake </w:t>
      </w:r>
      <w:r w:rsidR="00204571" w:rsidRPr="006B4E25">
        <w:t>koristi na podlagi prava</w:t>
      </w:r>
      <w:r w:rsidRPr="006B4E25">
        <w:t xml:space="preserve"> vključujeta povezana, vendar različna pojma enakosti in nediskriminacije. Izraz "</w:t>
      </w:r>
      <w:r w:rsidR="00123139" w:rsidRPr="006B4E25">
        <w:t xml:space="preserve"> enaka zaščita na podlagi prava </w:t>
      </w:r>
      <w:r w:rsidRPr="006B4E25">
        <w:t xml:space="preserve">" je v mednarodnem pravu o človekovih pravicah dobro poznan in se uporablja za zahtevo, da se nacionalni zakonodajalci ob sprejemanju zakonov in politik vzdržijo ohranjanja ali izvajanja diskriminacije zoper ljudi z invalidnostmi. Če se člen 5 razume v povezavi s členi 1, 3 in 4 Konvencije, je jasno, da morajo države pogodbenice sprejeti </w:t>
      </w:r>
      <w:r w:rsidR="00123139" w:rsidRPr="006B4E25">
        <w:t>spodbujevalne</w:t>
      </w:r>
      <w:r w:rsidRPr="006B4E25">
        <w:t xml:space="preserve"> ukrepe </w:t>
      </w:r>
      <w:r w:rsidR="00123139" w:rsidRPr="006B4E25">
        <w:t>da se zagotovi</w:t>
      </w:r>
      <w:r w:rsidRPr="006B4E25">
        <w:t xml:space="preserve">, da bodo ljudje z invalidnostmi </w:t>
      </w:r>
      <w:r w:rsidR="0010288D" w:rsidRPr="006B4E25">
        <w:t xml:space="preserve">dejansko na izenačeni osnovi </w:t>
      </w:r>
      <w:r w:rsidRPr="006B4E25">
        <w:t xml:space="preserve">uživali </w:t>
      </w:r>
      <w:r w:rsidR="0010288D" w:rsidRPr="006B4E25">
        <w:t xml:space="preserve">vse </w:t>
      </w:r>
      <w:r w:rsidRPr="006B4E25">
        <w:t>pravice, ki jim jih zagotavlja zakonodaja. Za to so pogosto potrebne dostopnost, razumne prilagoditve in individualna podpora. Za zagotavljanje enakih možnosti za vse ljudi z invalidnostmi se uporablja izraz "</w:t>
      </w:r>
      <w:r w:rsidR="000E6A90" w:rsidRPr="006B4E25">
        <w:t>enake koristi na podlagi prava</w:t>
      </w:r>
      <w:r w:rsidR="000E6A90" w:rsidRPr="006B4E25" w:rsidDel="000E6A90">
        <w:t xml:space="preserve"> </w:t>
      </w:r>
      <w:r w:rsidRPr="006B4E25">
        <w:t xml:space="preserve">", kar pomeni, da morajo države pogodbenice odpraviti ovire za dostop do vseh </w:t>
      </w:r>
      <w:r w:rsidR="00737A67" w:rsidRPr="006B4E25">
        <w:t xml:space="preserve">(oblik) </w:t>
      </w:r>
      <w:r w:rsidRPr="006B4E25">
        <w:t xml:space="preserve">zakonskih varstev ter koristi enakega dostopa do </w:t>
      </w:r>
      <w:r w:rsidR="00737A67" w:rsidRPr="006B4E25">
        <w:t xml:space="preserve">prava in </w:t>
      </w:r>
      <w:r w:rsidRPr="006B4E25">
        <w:t>pravnega varstva</w:t>
      </w:r>
      <w:r w:rsidR="00737A67" w:rsidRPr="006B4E25">
        <w:t>, potrebnih za</w:t>
      </w:r>
      <w:r w:rsidRPr="006B4E25">
        <w:t xml:space="preserve"> </w:t>
      </w:r>
      <w:r w:rsidR="00737A67" w:rsidRPr="006B4E25">
        <w:t>uveljavljanje</w:t>
      </w:r>
      <w:r w:rsidR="006318FB">
        <w:t xml:space="preserve"> </w:t>
      </w:r>
      <w:r w:rsidRPr="006B4E25">
        <w:t xml:space="preserve">pravic. </w:t>
      </w:r>
    </w:p>
    <w:p w14:paraId="07231B31" w14:textId="38960851" w:rsidR="005545DB" w:rsidRPr="006B4E25" w:rsidRDefault="00584594">
      <w:pPr>
        <w:pStyle w:val="H1G"/>
      </w:pPr>
      <w:r w:rsidRPr="006B4E25">
        <w:tab/>
        <w:t>C.</w:t>
      </w:r>
      <w:r w:rsidRPr="006B4E25">
        <w:tab/>
        <w:t>Člen 5(2) o prepovedi diskriminacije in enakosti ter učinkovitosti pravnega varstva</w:t>
      </w:r>
    </w:p>
    <w:p w14:paraId="07231B32" w14:textId="14D6D956" w:rsidR="005545DB" w:rsidRPr="006B4E25" w:rsidRDefault="00584594">
      <w:pPr>
        <w:pStyle w:val="SingleTxtG"/>
        <w:numPr>
          <w:ilvl w:val="0"/>
          <w:numId w:val="4"/>
        </w:numPr>
        <w:ind w:left="1134" w:firstLine="0"/>
        <w:rPr>
          <w:b/>
        </w:rPr>
      </w:pPr>
      <w:r w:rsidRPr="006B4E25">
        <w:t xml:space="preserve">Člen 5(2) vsebuje zakonske zahteve za doseganje enakih pravic za ljudi z invalidnostmi ter z njimi </w:t>
      </w:r>
      <w:r w:rsidR="0080156A" w:rsidRPr="006B4E25">
        <w:t xml:space="preserve">povezanih </w:t>
      </w:r>
      <w:r w:rsidRPr="006B4E25">
        <w:t xml:space="preserve">ljudi. Obveznost prepovedi vsakršne diskriminacije na podlagi invalidnosti vključuje ljudi z invalidnostmi ter </w:t>
      </w:r>
      <w:r w:rsidR="0080156A" w:rsidRPr="006B4E25">
        <w:t>z njimi povezane ljudi</w:t>
      </w:r>
      <w:r w:rsidRPr="006B4E25">
        <w:t xml:space="preserve">, npr. starše otrok z invalidnostmi. Obveznost, da se ljudem z invalidnostmi zagotovi enako in učinkovito pravno varstvo pred </w:t>
      </w:r>
      <w:r w:rsidR="0080156A" w:rsidRPr="006B4E25">
        <w:t>diskriminacijo zaradi vseh razlogov (</w:t>
      </w:r>
      <w:r w:rsidR="006B4E25" w:rsidRPr="006B4E25">
        <w:t>tj. </w:t>
      </w:r>
      <w:r w:rsidR="0080156A" w:rsidRPr="006B4E25">
        <w:t>podlag, osebnih okoliščin)</w:t>
      </w:r>
      <w:r w:rsidRPr="006B4E25">
        <w:t xml:space="preserve">, je daljnosežna, državam pogodbenicam pa nalaga </w:t>
      </w:r>
      <w:r w:rsidR="0080156A" w:rsidRPr="006B4E25">
        <w:t xml:space="preserve">pozitivne </w:t>
      </w:r>
      <w:r w:rsidRPr="006B4E25">
        <w:t>obveznost</w:t>
      </w:r>
      <w:r w:rsidR="0080156A" w:rsidRPr="006B4E25">
        <w:t>i</w:t>
      </w:r>
      <w:r w:rsidRPr="006B4E25">
        <w:t xml:space="preserve"> varstva. Diskriminacija zaradi invalidnosti je v členu 2 opredeljena kot "vsako razlikovanje, izključevanje ali omejevanje zaradi invalidnosti z namenom ali posledico zmanjšanja ali izničevanja priznavanja, uživanja ali uresničevanja vseh človekovih pravic in temeljnih svoboščin </w:t>
      </w:r>
      <w:r w:rsidR="0080156A" w:rsidRPr="006B4E25">
        <w:t>na izenačeni osnovi</w:t>
      </w:r>
      <w:r w:rsidRPr="006B4E25">
        <w:t xml:space="preserve"> kot drugi</w:t>
      </w:r>
      <w:r w:rsidR="0080156A" w:rsidRPr="006B4E25">
        <w:t>m</w:t>
      </w:r>
      <w:r w:rsidRPr="006B4E25">
        <w:t xml:space="preserve"> na političnem, gospodarskem, socialnem, kulturnem, civilnem ali </w:t>
      </w:r>
      <w:r w:rsidR="004F21ED" w:rsidRPr="006B4E25">
        <w:t xml:space="preserve">kateremkoli </w:t>
      </w:r>
      <w:r w:rsidRPr="006B4E25">
        <w:t xml:space="preserve">drugem področju. Vključuje vse oblike diskriminacije, tudi odklonitev </w:t>
      </w:r>
      <w:r w:rsidR="006318FB">
        <w:t>razumne</w:t>
      </w:r>
      <w:r w:rsidRPr="006B4E25">
        <w:t xml:space="preserve"> prilagoditve". Ta opredelitev temelji na pravni opredelitvi diskriminacije v mednarodnih pogodbah o človekovih pravicah, npr. v členu 1 Mednarodne konvencije o odpravi vseh oblik rasne diskriminacije ter v členu 1 Konvencije o odpravi vseh oblik diskriminacije žensk. Te opredelitve presega v dveh vidikih: prvič zato, ker vključuje "odklonitev </w:t>
      </w:r>
      <w:r w:rsidR="006318FB">
        <w:t xml:space="preserve">razumne </w:t>
      </w:r>
      <w:r w:rsidRPr="006B4E25">
        <w:t xml:space="preserve">prilagoditve" kot obliko diskriminacije </w:t>
      </w:r>
      <w:r w:rsidR="004F21ED" w:rsidRPr="006B4E25">
        <w:t>zaradi</w:t>
      </w:r>
      <w:r w:rsidRPr="006B4E25">
        <w:t xml:space="preserve"> invalidnosti, drugič pa zato, ker uvaja novo komponento, in sicer izraz "</w:t>
      </w:r>
      <w:r w:rsidR="004F21ED" w:rsidRPr="006B4E25">
        <w:t xml:space="preserve">na izenačeni osnovi </w:t>
      </w:r>
      <w:r w:rsidRPr="006B4E25">
        <w:t>kot drugi". Člena 1 in 3 Konvencije o odpravi vseh oblik diskriminacije žensk vsebujeta podobno, vendar bolj omejeno besedno zvezo "na podlagi enakosti moških in žensk". Izraz "</w:t>
      </w:r>
      <w:r w:rsidR="004F21ED" w:rsidRPr="006B4E25">
        <w:t xml:space="preserve">na izenačeni osnovi </w:t>
      </w:r>
      <w:r w:rsidRPr="006B4E25">
        <w:t xml:space="preserve">kot drugi" ni omejen le na opredelitev diskriminacije na podlagi invalidnosti, pač pa velja tudi za celotno Konvencijo o pravicah invalidov. Po eni strani to pomeni, da ljudje z invalidnostmi ne bodo uživali več ali manj pravic ali ugodnosti kot splošna populacija. Po drugi strani pa se v skladu s tem zahteva, da države pogodbenice sprejmejo konkretne posebne ukrepe za doseganje </w:t>
      </w:r>
      <w:r w:rsidRPr="006B4E25">
        <w:rPr>
          <w:i/>
        </w:rPr>
        <w:t>dejanske</w:t>
      </w:r>
      <w:r w:rsidRPr="006B4E25">
        <w:t xml:space="preserve"> enakosti ljudi z invalidnostmi ter tako zagotovijo, da lahko slednji dejansko uživajo vse človekove pravice in temeljne svoboščine. </w:t>
      </w:r>
    </w:p>
    <w:p w14:paraId="07231B33" w14:textId="19D08B33" w:rsidR="005545DB" w:rsidRPr="006B4E25" w:rsidRDefault="00584594">
      <w:pPr>
        <w:pStyle w:val="SingleTxtG"/>
        <w:numPr>
          <w:ilvl w:val="0"/>
          <w:numId w:val="4"/>
        </w:numPr>
        <w:ind w:left="1134" w:firstLine="0"/>
      </w:pPr>
      <w:r w:rsidRPr="006B4E25">
        <w:t>Dolžnost prepovedi "vsake diskriminacije" vključuje vse oblike diskriminacije. V mednarodni praksi na področju človekovih pravic so opredeljene štiri glavne oblike diskriminacije, ki se lahko pojavljajo posamično ali hkrati:</w:t>
      </w:r>
    </w:p>
    <w:p w14:paraId="07231B34" w14:textId="2C51796E" w:rsidR="005545DB" w:rsidRPr="006B4E25" w:rsidRDefault="00584594">
      <w:pPr>
        <w:pStyle w:val="SingleTxtG"/>
        <w:numPr>
          <w:ilvl w:val="0"/>
          <w:numId w:val="6"/>
        </w:numPr>
        <w:ind w:left="1134" w:firstLine="567"/>
      </w:pPr>
      <w:r w:rsidRPr="006B4E25">
        <w:t xml:space="preserve">"Neposredna diskriminacija" </w:t>
      </w:r>
      <w:r w:rsidR="00D238A8" w:rsidRPr="006B4E25">
        <w:t>obstaja</w:t>
      </w:r>
      <w:r w:rsidRPr="006B4E25">
        <w:t xml:space="preserve">, kadar so ljudje z invalidnostmi v podobni situaciji obravnavani manj ugodno kot drugi ljudje zaradi drugačnega osebnega </w:t>
      </w:r>
      <w:r w:rsidR="00D238A8" w:rsidRPr="006B4E25">
        <w:t>položaja</w:t>
      </w:r>
      <w:r w:rsidRPr="006B4E25">
        <w:t xml:space="preserve">, </w:t>
      </w:r>
      <w:r w:rsidR="00D238A8" w:rsidRPr="006B4E25">
        <w:t>zaradi razloga, ki je povezan s (</w:t>
      </w:r>
      <w:r w:rsidRPr="006B4E25">
        <w:t xml:space="preserve">prepovedan </w:t>
      </w:r>
      <w:r w:rsidR="00D238A8" w:rsidRPr="006B4E25">
        <w:t>razlog za razlikovanje (</w:t>
      </w:r>
      <w:r w:rsidR="006B4E25" w:rsidRPr="006B4E25">
        <w:t>tj. </w:t>
      </w:r>
      <w:r w:rsidR="00D238A8" w:rsidRPr="006B4E25">
        <w:t xml:space="preserve">podlago, </w:t>
      </w:r>
      <w:r w:rsidR="00D238A8" w:rsidRPr="006B4E25">
        <w:lastRenderedPageBreak/>
        <w:t>osebno okoliščino)</w:t>
      </w:r>
      <w:r w:rsidRPr="006B4E25">
        <w:t xml:space="preserve">. Neposredna diskriminacija vključuje škodljiva dejanja ali opustitve </w:t>
      </w:r>
      <w:r w:rsidR="00C62156" w:rsidRPr="006B4E25">
        <w:t>zaradi</w:t>
      </w:r>
      <w:r w:rsidRPr="006B4E25">
        <w:t xml:space="preserve"> prepovedanih razlogov</w:t>
      </w:r>
      <w:r w:rsidR="00C62156" w:rsidRPr="006B4E25">
        <w:t xml:space="preserve"> </w:t>
      </w:r>
      <w:r w:rsidR="006B4E25" w:rsidRPr="006B4E25">
        <w:t xml:space="preserve">(tj. podlag, osebnih okoliščin) </w:t>
      </w:r>
      <w:r w:rsidR="00C62156" w:rsidRPr="006B4E25">
        <w:t>za razlikovanj</w:t>
      </w:r>
      <w:r w:rsidR="006B4E25" w:rsidRPr="006B4E25">
        <w:t>e</w:t>
      </w:r>
      <w:r w:rsidRPr="006B4E25">
        <w:t>, kjer ni primerljive podobne situacije.</w:t>
      </w:r>
      <w:r w:rsidRPr="006B4E25">
        <w:rPr>
          <w:vertAlign w:val="superscript"/>
        </w:rPr>
        <w:footnoteReference w:id="4"/>
      </w:r>
      <w:r w:rsidRPr="006B4E25">
        <w:t xml:space="preserve"> Za ugotovitev, ali je prišlo do diskriminacije ali ne, motiv ali namen osebe, ki izvaja diskriminacijo, ni pomemben. </w:t>
      </w:r>
      <w:r w:rsidR="009938AC" w:rsidRPr="006B4E25">
        <w:t xml:space="preserve">Primer: </w:t>
      </w:r>
      <w:r w:rsidRPr="006B4E25">
        <w:t xml:space="preserve">Državna šola, ki ne sprejme otroka s posebnimi potrebami, da ji ne bi bilo treba spreminjati učnih načrtov, </w:t>
      </w:r>
      <w:r w:rsidR="00C62156" w:rsidRPr="006B4E25">
        <w:t xml:space="preserve">in </w:t>
      </w:r>
      <w:r w:rsidRPr="006B4E25">
        <w:t>to stori samo zaradi invalidnosti otroka, je primer neposredne diskriminacij</w:t>
      </w:r>
      <w:r w:rsidR="00606B30" w:rsidRPr="006B4E25">
        <w:t>e.</w:t>
      </w:r>
      <w:r w:rsidRPr="006B4E25">
        <w:t xml:space="preserve"> </w:t>
      </w:r>
    </w:p>
    <w:p w14:paraId="07231B35" w14:textId="259282FD" w:rsidR="005545DB" w:rsidRPr="006B4E25" w:rsidRDefault="00584594">
      <w:pPr>
        <w:pStyle w:val="SingleTxtG"/>
        <w:numPr>
          <w:ilvl w:val="0"/>
          <w:numId w:val="6"/>
        </w:numPr>
        <w:ind w:left="1134" w:firstLine="567"/>
      </w:pPr>
      <w:r w:rsidRPr="006B4E25">
        <w:t xml:space="preserve"> "Posredna diskriminacija"</w:t>
      </w:r>
      <w:r w:rsidRPr="006B4E25">
        <w:rPr>
          <w:vertAlign w:val="superscript"/>
        </w:rPr>
        <w:footnoteReference w:id="5"/>
      </w:r>
      <w:r w:rsidRPr="006B4E25">
        <w:t xml:space="preserve"> </w:t>
      </w:r>
      <w:r w:rsidR="00B878E5" w:rsidRPr="006B4E25">
        <w:t>pomeni</w:t>
      </w:r>
      <w:r w:rsidRPr="006B4E25">
        <w:t xml:space="preserve">, </w:t>
      </w:r>
      <w:r w:rsidR="00B878E5" w:rsidRPr="006B4E25">
        <w:t>da</w:t>
      </w:r>
      <w:r w:rsidRPr="006B4E25">
        <w:t xml:space="preserve"> </w:t>
      </w:r>
      <w:r w:rsidR="00B878E5" w:rsidRPr="006B4E25">
        <w:t xml:space="preserve">imajo </w:t>
      </w:r>
      <w:r w:rsidRPr="006B4E25">
        <w:t>zakoni, politike ali prakse</w:t>
      </w:r>
      <w:r w:rsidR="00B878E5" w:rsidRPr="006B4E25">
        <w:t>, ki</w:t>
      </w:r>
      <w:r w:rsidRPr="006B4E25">
        <w:t xml:space="preserve"> zdijo povsem </w:t>
      </w:r>
      <w:r w:rsidR="00C62156" w:rsidRPr="006B4E25">
        <w:t xml:space="preserve">vrednostno </w:t>
      </w:r>
      <w:r w:rsidRPr="006B4E25">
        <w:t xml:space="preserve">nevtralni, dejansko nesorazmerno negativen </w:t>
      </w:r>
      <w:r w:rsidR="00C62156" w:rsidRPr="006B4E25">
        <w:t xml:space="preserve">učinek </w:t>
      </w:r>
      <w:r w:rsidRPr="006B4E25">
        <w:t xml:space="preserve">na </w:t>
      </w:r>
      <w:r w:rsidR="00C62156" w:rsidRPr="006B4E25">
        <w:t xml:space="preserve">osebo </w:t>
      </w:r>
      <w:r w:rsidRPr="006B4E25">
        <w:t xml:space="preserve">z invalidnostmi. Pojavi se v primeru, da je priložnost, ki se sicer zdi dostopna, v resnici </w:t>
      </w:r>
      <w:r w:rsidR="00B878E5" w:rsidRPr="006B4E25">
        <w:t>izključuje nekatere</w:t>
      </w:r>
      <w:r w:rsidRPr="006B4E25">
        <w:t xml:space="preserve"> ljudi zaradi dejstva, da jim njihov </w:t>
      </w:r>
      <w:r w:rsidR="00B878E5" w:rsidRPr="006B4E25">
        <w:t xml:space="preserve">položaj </w:t>
      </w:r>
      <w:r w:rsidRPr="006B4E25">
        <w:t xml:space="preserve">ne omogoča, da bi lahko izkoristili navedeno priložnost. </w:t>
      </w:r>
      <w:r w:rsidR="009938AC" w:rsidRPr="006B4E25">
        <w:t xml:space="preserve">Primer: </w:t>
      </w:r>
      <w:r w:rsidRPr="006B4E25">
        <w:t xml:space="preserve">Če šola ne zagotavlja knjig v </w:t>
      </w:r>
      <w:r w:rsidR="009938AC" w:rsidRPr="006B4E25">
        <w:t>obliki lahkega branja (</w:t>
      </w:r>
      <w:proofErr w:type="spellStart"/>
      <w:r w:rsidRPr="006B4E25">
        <w:t>Easy</w:t>
      </w:r>
      <w:proofErr w:type="spellEnd"/>
      <w:r w:rsidRPr="006B4E25">
        <w:t xml:space="preserve"> </w:t>
      </w:r>
      <w:proofErr w:type="spellStart"/>
      <w:r w:rsidRPr="006B4E25">
        <w:t>Read</w:t>
      </w:r>
      <w:proofErr w:type="spellEnd"/>
      <w:r w:rsidRPr="006B4E25">
        <w:t>"</w:t>
      </w:r>
      <w:r w:rsidR="009938AC" w:rsidRPr="006B4E25">
        <w:t>)</w:t>
      </w:r>
      <w:r w:rsidRPr="006B4E25">
        <w:t xml:space="preserve">, </w:t>
      </w:r>
      <w:r w:rsidR="009938AC" w:rsidRPr="006B4E25">
        <w:t>bi</w:t>
      </w:r>
      <w:r w:rsidRPr="006B4E25">
        <w:t xml:space="preserve"> posredno </w:t>
      </w:r>
      <w:r w:rsidR="009938AC" w:rsidRPr="006B4E25">
        <w:t xml:space="preserve">diskriminirala </w:t>
      </w:r>
      <w:r w:rsidRPr="006B4E25">
        <w:t xml:space="preserve">ljudi </w:t>
      </w:r>
      <w:r w:rsidR="009938AC" w:rsidRPr="006B4E25">
        <w:t>intelektualnimi invalidnostmi. Te</w:t>
      </w:r>
      <w:r w:rsidRPr="006B4E25">
        <w:t xml:space="preserve"> bi morale zato dejansko obiskovati drugo šolo, čeprav bi jim bilo tehnično gledano dovoljeno obiskovati tudi to šolo. Če ima kandidat z omejeno mobilnostjo razgovor za službo v pisarni v drugem nadstropju v stavbi brez dvigala, ga situacija podobno postavlja v </w:t>
      </w:r>
      <w:r w:rsidR="009938AC" w:rsidRPr="006B4E25">
        <w:t xml:space="preserve">neenak </w:t>
      </w:r>
      <w:r w:rsidRPr="006B4E25">
        <w:t xml:space="preserve">položaj, čeprav je bil sicer povabljen na razgovor. </w:t>
      </w:r>
    </w:p>
    <w:p w14:paraId="07231B36" w14:textId="06306B86" w:rsidR="005545DB" w:rsidRPr="006B4E25" w:rsidRDefault="00584594">
      <w:pPr>
        <w:pStyle w:val="SingleTxtG"/>
        <w:numPr>
          <w:ilvl w:val="0"/>
          <w:numId w:val="6"/>
        </w:numPr>
        <w:ind w:left="1134" w:firstLine="567"/>
      </w:pPr>
      <w:r w:rsidRPr="006B4E25">
        <w:t xml:space="preserve">"Odklonitev </w:t>
      </w:r>
      <w:r w:rsidR="009938AC" w:rsidRPr="006B4E25">
        <w:t xml:space="preserve">razumne </w:t>
      </w:r>
      <w:r w:rsidRPr="006B4E25">
        <w:t xml:space="preserve">prilagoditve" v skladu s členom 2 Konvencije pomeni diskriminacijo, če se zavrne potrebne in ustrezne spremembe ter prilagoditve (ki ne nalagajo "nesorazmernega ali nepotrebnega bremena"), </w:t>
      </w:r>
      <w:r w:rsidR="00184C19" w:rsidRPr="006B4E25">
        <w:t xml:space="preserve">a </w:t>
      </w:r>
      <w:r w:rsidRPr="006B4E25">
        <w:t xml:space="preserve">bi bile potrebne za zagotovitev enakega uživanja ali uresničevanja ene od človekovih pravic ali temeljnih svoboščin. Zavračanje prisotnosti spremljevalca ali zavračanje drugačne prilagoditve </w:t>
      </w:r>
      <w:r w:rsidR="00184C19" w:rsidRPr="006B4E25">
        <w:t>potrebi osebe</w:t>
      </w:r>
      <w:r w:rsidRPr="006B4E25">
        <w:t xml:space="preserve"> z invalidnostjo sta primera odklonitve </w:t>
      </w:r>
      <w:r w:rsidR="006318FB">
        <w:t xml:space="preserve">razumne </w:t>
      </w:r>
      <w:r w:rsidRPr="006B4E25">
        <w:t>prilagoditve</w:t>
      </w:r>
      <w:r w:rsidR="00606B30" w:rsidRPr="006B4E25">
        <w:t>.</w:t>
      </w:r>
    </w:p>
    <w:p w14:paraId="07231B37" w14:textId="1BA66D90" w:rsidR="005545DB" w:rsidRPr="006B4E25" w:rsidRDefault="00584594">
      <w:pPr>
        <w:pStyle w:val="SingleTxtG"/>
        <w:numPr>
          <w:ilvl w:val="0"/>
          <w:numId w:val="6"/>
        </w:numPr>
        <w:ind w:left="1134" w:firstLine="567"/>
      </w:pPr>
      <w:r w:rsidRPr="006B4E25">
        <w:t>"Nadlegovanje" je oblika diskrim</w:t>
      </w:r>
      <w:r w:rsidR="00606B30" w:rsidRPr="006B4E25">
        <w:t>inacije, kadar</w:t>
      </w:r>
      <w:r w:rsidRPr="006B4E25">
        <w:t xml:space="preserve"> gre za neželeno ravnanje, povezano z invalidnostjo ali drugimi </w:t>
      </w:r>
      <w:r w:rsidR="00184C19" w:rsidRPr="006B4E25">
        <w:t>prepovedanimi razlogi za razlikovanje (</w:t>
      </w:r>
      <w:r w:rsidR="00022AEE" w:rsidRPr="006B4E25">
        <w:t xml:space="preserve">tj. </w:t>
      </w:r>
      <w:r w:rsidR="00184C19" w:rsidRPr="006B4E25">
        <w:t xml:space="preserve">podlagami, osebnimi okoliščinami) </w:t>
      </w:r>
      <w:r w:rsidRPr="006B4E25">
        <w:t xml:space="preserve">, z namenom ali učinkom </w:t>
      </w:r>
      <w:r w:rsidR="00A36856" w:rsidRPr="006B4E25">
        <w:t xml:space="preserve">kršiti dostojanstvo </w:t>
      </w:r>
      <w:r w:rsidRPr="006B4E25">
        <w:t xml:space="preserve">osebe in </w:t>
      </w:r>
      <w:r w:rsidR="00A36856" w:rsidRPr="006B4E25">
        <w:t xml:space="preserve">ustvarjati </w:t>
      </w:r>
      <w:r w:rsidRPr="006B4E25">
        <w:t xml:space="preserve">zastrašujoče, </w:t>
      </w:r>
      <w:r w:rsidR="00A36856" w:rsidRPr="006B4E25">
        <w:t>sovražno</w:t>
      </w:r>
      <w:r w:rsidRPr="006B4E25">
        <w:t>, ponižujoče, sramotiln</w:t>
      </w:r>
      <w:r w:rsidR="00A36856" w:rsidRPr="006B4E25">
        <w:t>o</w:t>
      </w:r>
      <w:r w:rsidRPr="006B4E25">
        <w:t xml:space="preserve"> ali žaljiv</w:t>
      </w:r>
      <w:r w:rsidR="00A36856" w:rsidRPr="006B4E25">
        <w:t>o</w:t>
      </w:r>
      <w:r w:rsidRPr="006B4E25">
        <w:t xml:space="preserve"> </w:t>
      </w:r>
      <w:r w:rsidR="00A36856" w:rsidRPr="006B4E25">
        <w:t>okolje</w:t>
      </w:r>
      <w:r w:rsidRPr="006B4E25">
        <w:t xml:space="preserve">. Nadlegovanje se lahko izraža z dejanji ali z besedami, katerih učinek je </w:t>
      </w:r>
      <w:r w:rsidR="00A36856" w:rsidRPr="006B4E25">
        <w:t xml:space="preserve">ohranjati razlikovanje </w:t>
      </w:r>
      <w:r w:rsidRPr="006B4E25">
        <w:t xml:space="preserve">in zatiranja ljudi z invalidnostmi. Posebno pozornost je treba nameniti ljudem z invalidnostmi, ki živijo v </w:t>
      </w:r>
      <w:proofErr w:type="spellStart"/>
      <w:r w:rsidR="00A36856" w:rsidRPr="006B4E25">
        <w:t>segregiranih</w:t>
      </w:r>
      <w:proofErr w:type="spellEnd"/>
      <w:r w:rsidR="00A36856" w:rsidRPr="006B4E25">
        <w:t xml:space="preserve"> </w:t>
      </w:r>
      <w:r w:rsidRPr="006B4E25">
        <w:t>ustanovah, kot so stanovanjske institucije, posebne šole ali psihiatrične bolnišnice, v katerih je ta vrsta diskriminacije bolj verjetna in je po svoji naravi nevidna, zato ni verjetno, da bo kaznovana. "Ustrahovanje" in spletna oblika ustrahovanja, torej spletno ustrahovanje in spletno sovraštvo, so prav tako še posebej nasilne in škodljive oblike kaznivih dejanj iz sovraštva. Drugi primeri vključujejo nasilje (</w:t>
      </w:r>
      <w:r w:rsidR="00A36856" w:rsidRPr="006B4E25">
        <w:t>zaradi</w:t>
      </w:r>
      <w:r w:rsidRPr="006B4E25">
        <w:t xml:space="preserve"> invalidnosti) v vseh pojavnostih, npr. posilstvo, zloraba in izkoriščanje, kazniva dejanja iz sovraštva ter pretepanje.</w:t>
      </w:r>
    </w:p>
    <w:p w14:paraId="07231B38" w14:textId="5EEAB384" w:rsidR="005545DB" w:rsidRPr="006B4E25" w:rsidRDefault="00584594">
      <w:pPr>
        <w:pStyle w:val="SingleTxtG"/>
        <w:numPr>
          <w:ilvl w:val="0"/>
          <w:numId w:val="4"/>
        </w:numPr>
        <w:ind w:left="1134" w:firstLine="0"/>
      </w:pPr>
      <w:r w:rsidRPr="006B4E25">
        <w:t>Diskriminacija lahko temelji na eni sami značilnosti</w:t>
      </w:r>
      <w:r w:rsidR="00A42385" w:rsidRPr="006B4E25">
        <w:t xml:space="preserve"> (tj. podlagi, osebni okoliščini)</w:t>
      </w:r>
      <w:r w:rsidRPr="006B4E25">
        <w:t>, npr. invalidnost ali spol</w:t>
      </w:r>
      <w:r w:rsidR="00A42385" w:rsidRPr="006B4E25">
        <w:t>u</w:t>
      </w:r>
      <w:r w:rsidRPr="006B4E25">
        <w:t>, ali na več in/ali na presečnih značilnostih. "</w:t>
      </w:r>
      <w:proofErr w:type="spellStart"/>
      <w:r w:rsidRPr="006B4E25">
        <w:t>Intersekcijska</w:t>
      </w:r>
      <w:proofErr w:type="spellEnd"/>
      <w:r w:rsidRPr="006B4E25">
        <w:t xml:space="preserve"> ali presečna diskriminacija" </w:t>
      </w:r>
      <w:r w:rsidR="00A42385" w:rsidRPr="006B4E25">
        <w:t>obstaja</w:t>
      </w:r>
      <w:r w:rsidRPr="006B4E25">
        <w:t xml:space="preserve">, če so ljudje z invalidnostjo ali ljudje, povezani z invalidnostjo, deležni diskriminacije v kakršni koli obliki na podlagi njihove invalidnosti v kombinaciji z barvo kože, spolom, jezikom, versko pripadnostjo, etnično pripadnostjo, spolom ali </w:t>
      </w:r>
      <w:r w:rsidR="00A42385" w:rsidRPr="006B4E25">
        <w:t>drugim položajem</w:t>
      </w:r>
      <w:r w:rsidRPr="006B4E25">
        <w:t xml:space="preserve">. Presečna diskriminacija se lahko pojavi kot neposredna ali posredna diskriminacija, odklonitev </w:t>
      </w:r>
      <w:r w:rsidR="006318FB">
        <w:t xml:space="preserve">razumne </w:t>
      </w:r>
      <w:r w:rsidRPr="006B4E25">
        <w:t xml:space="preserve">prilagoditve ali nadlegovanje. </w:t>
      </w:r>
      <w:r w:rsidR="00A42385" w:rsidRPr="006B4E25">
        <w:t xml:space="preserve">Primer: </w:t>
      </w:r>
      <w:r w:rsidRPr="006B4E25">
        <w:t xml:space="preserve">Zavrnitev dostopa do splošnih zdravstvenih informacij zaradi nedostopnega formata </w:t>
      </w:r>
      <w:r w:rsidR="00A42385" w:rsidRPr="006B4E25">
        <w:t xml:space="preserve">sicer </w:t>
      </w:r>
      <w:r w:rsidRPr="006B4E25">
        <w:t xml:space="preserve">prizadene vse ljudi z invalidnostmi na podlagi njihove invalidnosti, </w:t>
      </w:r>
      <w:r w:rsidR="00A42385" w:rsidRPr="006B4E25">
        <w:t xml:space="preserve">a </w:t>
      </w:r>
      <w:r w:rsidRPr="006B4E25">
        <w:t xml:space="preserve">zavrnitev dostopa do storitev načrtovanja družine za slepo žensko omejuje njene pravice </w:t>
      </w:r>
      <w:r w:rsidR="00A42385" w:rsidRPr="006B4E25">
        <w:t xml:space="preserve">v preseku zaradi </w:t>
      </w:r>
      <w:r w:rsidRPr="006B4E25">
        <w:t>njenega spola in invalidnosti. V mnogih primerih je te značilnosti</w:t>
      </w:r>
      <w:r w:rsidR="007E1A2C" w:rsidRPr="006B4E25">
        <w:t xml:space="preserve"> (tj. podlage, osebne okoliščine), </w:t>
      </w:r>
      <w:r w:rsidRPr="006B4E25">
        <w:t xml:space="preserve"> težko ločiti. Države pogodbenice morajo obravnavati </w:t>
      </w:r>
      <w:r w:rsidR="007E1A2C" w:rsidRPr="006B4E25">
        <w:t xml:space="preserve">večkratno </w:t>
      </w:r>
      <w:r w:rsidRPr="006B4E25">
        <w:t xml:space="preserve">in presečno diskriminacijo </w:t>
      </w:r>
      <w:r w:rsidR="007E1A2C" w:rsidRPr="006B4E25">
        <w:t>ljudi z invalidnostmi</w:t>
      </w:r>
      <w:r w:rsidRPr="006B4E25">
        <w:t>. "</w:t>
      </w:r>
      <w:r w:rsidR="007E1A2C" w:rsidRPr="006B4E25">
        <w:t xml:space="preserve">Večkratna </w:t>
      </w:r>
      <w:r w:rsidRPr="006B4E25">
        <w:t>diskriminacija" je po mnenju Odbora situacija, v kateri lahko oseba doživi diskriminacijo iz dveh ali več razlogov</w:t>
      </w:r>
      <w:r w:rsidR="007E1A2C" w:rsidRPr="006B4E25">
        <w:t xml:space="preserve"> (</w:t>
      </w:r>
      <w:r w:rsidR="006872B6" w:rsidRPr="006B4E25">
        <w:t xml:space="preserve">tj. </w:t>
      </w:r>
      <w:r w:rsidR="007E1A2C" w:rsidRPr="006B4E25">
        <w:t>podlag, osebnih okoliščin)</w:t>
      </w:r>
      <w:r w:rsidRPr="006B4E25">
        <w:t xml:space="preserve">, pri čemer se diskriminacija </w:t>
      </w:r>
      <w:r w:rsidR="007E1A2C" w:rsidRPr="006B4E25">
        <w:t xml:space="preserve">združuje in prepleta </w:t>
      </w:r>
      <w:r w:rsidR="0051670B" w:rsidRPr="006B4E25">
        <w:t>in tako</w:t>
      </w:r>
      <w:r w:rsidR="006318FB">
        <w:t xml:space="preserve"> </w:t>
      </w:r>
      <w:r w:rsidRPr="006B4E25">
        <w:t xml:space="preserve">dodatno </w:t>
      </w:r>
      <w:r w:rsidR="007E1A2C" w:rsidRPr="006B4E25">
        <w:t>okrepi</w:t>
      </w:r>
      <w:r w:rsidRPr="006B4E25">
        <w:t xml:space="preserve">. </w:t>
      </w:r>
      <w:proofErr w:type="spellStart"/>
      <w:r w:rsidRPr="006B4E25">
        <w:t>Intersekcijska</w:t>
      </w:r>
      <w:proofErr w:type="spellEnd"/>
      <w:r w:rsidRPr="006B4E25">
        <w:t xml:space="preserve"> ali presečna diskriminacija se nanaša na situacijo, ko hkrati več značilnosti</w:t>
      </w:r>
      <w:r w:rsidR="0051670B" w:rsidRPr="006B4E25">
        <w:t xml:space="preserve"> (</w:t>
      </w:r>
      <w:r w:rsidR="006872B6" w:rsidRPr="006B4E25">
        <w:t xml:space="preserve">tj. </w:t>
      </w:r>
      <w:r w:rsidR="0051670B" w:rsidRPr="006B4E25">
        <w:t xml:space="preserve">podlag, osebnih </w:t>
      </w:r>
      <w:r w:rsidR="0051670B" w:rsidRPr="006B4E25">
        <w:lastRenderedPageBreak/>
        <w:t>okolišč</w:t>
      </w:r>
      <w:r w:rsidR="006872B6" w:rsidRPr="006B4E25">
        <w:t>i</w:t>
      </w:r>
      <w:r w:rsidR="0051670B" w:rsidRPr="006B4E25">
        <w:t>n)</w:t>
      </w:r>
      <w:r w:rsidRPr="006B4E25">
        <w:t xml:space="preserve"> medsebojno </w:t>
      </w:r>
      <w:r w:rsidR="0051670B" w:rsidRPr="006B4E25">
        <w:t>hkrati</w:t>
      </w:r>
      <w:r w:rsidR="00886C8F">
        <w:t xml:space="preserve"> </w:t>
      </w:r>
      <w:r w:rsidR="0051670B" w:rsidRPr="006B4E25">
        <w:t xml:space="preserve">učinkuje in se prepleta </w:t>
      </w:r>
      <w:r w:rsidRPr="006B4E25">
        <w:t>na tak način, da jih ni mogoče ločiti, in s tem izpostavljajo posameznike edinstvenim vrstam prikrajšanosti in diskriminacije.</w:t>
      </w:r>
      <w:r w:rsidRPr="006B4E25">
        <w:rPr>
          <w:vertAlign w:val="superscript"/>
        </w:rPr>
        <w:footnoteReference w:id="6"/>
      </w:r>
    </w:p>
    <w:p w14:paraId="07231B39" w14:textId="6A4BB22D" w:rsidR="005545DB" w:rsidRPr="006B4E25" w:rsidRDefault="00584594">
      <w:pPr>
        <w:pStyle w:val="P68B1DB1-SingleTxtG3"/>
        <w:numPr>
          <w:ilvl w:val="0"/>
          <w:numId w:val="4"/>
        </w:numPr>
        <w:ind w:left="1134" w:firstLine="0"/>
        <w:rPr>
          <w:highlight w:val="none"/>
        </w:rPr>
      </w:pPr>
      <w:r w:rsidRPr="006B4E25">
        <w:rPr>
          <w:highlight w:val="none"/>
        </w:rPr>
        <w:t>Diskriminacija "</w:t>
      </w:r>
      <w:r w:rsidR="0051670B" w:rsidRPr="006B4E25">
        <w:rPr>
          <w:highlight w:val="none"/>
        </w:rPr>
        <w:t>zarad</w:t>
      </w:r>
      <w:r w:rsidRPr="006B4E25">
        <w:rPr>
          <w:highlight w:val="none"/>
        </w:rPr>
        <w:t>i invalidnosti" je lahko usmerjena proti osebam, ki imajo invalidnost</w:t>
      </w:r>
      <w:r w:rsidR="0051670B" w:rsidRPr="006B4E25">
        <w:rPr>
          <w:highlight w:val="none"/>
        </w:rPr>
        <w:t xml:space="preserve"> zdaj</w:t>
      </w:r>
      <w:r w:rsidRPr="006B4E25">
        <w:rPr>
          <w:highlight w:val="none"/>
        </w:rPr>
        <w:t>, ki so imele invalidnost</w:t>
      </w:r>
      <w:r w:rsidR="0051670B" w:rsidRPr="006B4E25">
        <w:rPr>
          <w:highlight w:val="none"/>
        </w:rPr>
        <w:t xml:space="preserve"> v preteklosti</w:t>
      </w:r>
      <w:r w:rsidRPr="006B4E25">
        <w:rPr>
          <w:highlight w:val="none"/>
        </w:rPr>
        <w:t xml:space="preserve">, pri katerih v prihodnosti obstaja nagnjenost k invalidnosti, za katere se domneva, da imajo invalidnost, in ki so povezane z osebo z invalidnostjo. Slednji primer je poznan pod imenom "diskriminacija </w:t>
      </w:r>
      <w:r w:rsidR="00D64D91" w:rsidRPr="006B4E25">
        <w:rPr>
          <w:highlight w:val="none"/>
        </w:rPr>
        <w:t>preko povezave</w:t>
      </w:r>
      <w:r w:rsidRPr="006B4E25">
        <w:rPr>
          <w:highlight w:val="none"/>
        </w:rPr>
        <w:t xml:space="preserve">". </w:t>
      </w:r>
      <w:r w:rsidR="00D64D91" w:rsidRPr="006B4E25">
        <w:rPr>
          <w:highlight w:val="none"/>
        </w:rPr>
        <w:t>Namen</w:t>
      </w:r>
      <w:r w:rsidRPr="006B4E25">
        <w:rPr>
          <w:highlight w:val="none"/>
        </w:rPr>
        <w:t xml:space="preserve"> </w:t>
      </w:r>
      <w:r w:rsidR="00D64D91" w:rsidRPr="006B4E25">
        <w:rPr>
          <w:highlight w:val="none"/>
        </w:rPr>
        <w:t>širokega učinka</w:t>
      </w:r>
      <w:r w:rsidRPr="006B4E25">
        <w:rPr>
          <w:highlight w:val="none"/>
        </w:rPr>
        <w:t xml:space="preserve"> člena 5 je </w:t>
      </w:r>
      <w:r w:rsidR="00D64D91" w:rsidRPr="006B4E25">
        <w:rPr>
          <w:highlight w:val="none"/>
        </w:rPr>
        <w:t xml:space="preserve">izkoreniniti </w:t>
      </w:r>
      <w:r w:rsidRPr="006B4E25">
        <w:rPr>
          <w:highlight w:val="none"/>
        </w:rPr>
        <w:t xml:space="preserve">in </w:t>
      </w:r>
      <w:r w:rsidR="00D64D91" w:rsidRPr="006B4E25">
        <w:rPr>
          <w:highlight w:val="none"/>
        </w:rPr>
        <w:t xml:space="preserve">boriti se </w:t>
      </w:r>
      <w:r w:rsidRPr="006B4E25">
        <w:rPr>
          <w:highlight w:val="none"/>
        </w:rPr>
        <w:t>proti vsem diskriminacijskim situacijam in/ali diskriminacijskim ravnanjem, ki so povezana z invalidnostjo.</w:t>
      </w:r>
    </w:p>
    <w:p w14:paraId="07231B3A" w14:textId="5D403750" w:rsidR="005545DB" w:rsidRPr="006B4E25" w:rsidRDefault="00584594">
      <w:pPr>
        <w:pStyle w:val="SingleTxtG"/>
        <w:numPr>
          <w:ilvl w:val="0"/>
          <w:numId w:val="4"/>
        </w:numPr>
        <w:ind w:left="1134" w:firstLine="0"/>
      </w:pPr>
      <w:r w:rsidRPr="006B4E25">
        <w:t>Varstvo pred "diskriminacijo</w:t>
      </w:r>
      <w:r w:rsidR="00C43B88" w:rsidRPr="006B4E25">
        <w:t xml:space="preserve"> na katerikoli podlagi</w:t>
      </w:r>
      <w:r w:rsidRPr="006B4E25">
        <w:t xml:space="preserve">" pomeni, da je treba upoštevati vse možne </w:t>
      </w:r>
      <w:r w:rsidR="00C43B88" w:rsidRPr="006B4E25">
        <w:t>podlage (</w:t>
      </w:r>
      <w:r w:rsidR="00C47F5E" w:rsidRPr="006B4E25">
        <w:t xml:space="preserve">tj. </w:t>
      </w:r>
      <w:r w:rsidR="00C43B88" w:rsidRPr="006B4E25">
        <w:t xml:space="preserve">osebne </w:t>
      </w:r>
      <w:r w:rsidRPr="006B4E25">
        <w:t>okoliščine</w:t>
      </w:r>
      <w:r w:rsidR="00C43B88" w:rsidRPr="006B4E25">
        <w:t>)</w:t>
      </w:r>
      <w:r w:rsidRPr="006B4E25">
        <w:t xml:space="preserve">, na podlagi katerih lahko pride do diskriminacije, pa tudi njihova presečišča. Možne </w:t>
      </w:r>
      <w:r w:rsidR="00451CE6" w:rsidRPr="006B4E25">
        <w:t>podlage (</w:t>
      </w:r>
      <w:proofErr w:type="spellStart"/>
      <w:r w:rsidR="00C47F5E" w:rsidRPr="006B4E25">
        <w:t>tj</w:t>
      </w:r>
      <w:proofErr w:type="spellEnd"/>
      <w:r w:rsidR="00C47F5E" w:rsidRPr="006B4E25">
        <w:t xml:space="preserve"> osebne </w:t>
      </w:r>
      <w:r w:rsidRPr="006B4E25">
        <w:t>okoliščine</w:t>
      </w:r>
      <w:r w:rsidR="00451CE6" w:rsidRPr="006B4E25">
        <w:t>)</w:t>
      </w:r>
      <w:r w:rsidRPr="006B4E25">
        <w:t xml:space="preserve"> med drugim</w:t>
      </w:r>
      <w:r w:rsidR="00C43B88" w:rsidRPr="006B4E25">
        <w:t xml:space="preserve"> (tj. seznam je neizčrpen)</w:t>
      </w:r>
      <w:r w:rsidRPr="006B4E25">
        <w:t xml:space="preserve"> vključujejo: invalidnost; zdravstveno stanje; genetsko ali drugo nagnjenost k bolezni; raso; barvo; poreklo; spol; nosečnost in materinstvo/očetovstvo; civilni, družinski ali poklicni status</w:t>
      </w:r>
      <w:r w:rsidR="00C43B88" w:rsidRPr="006B4E25">
        <w:t xml:space="preserve"> (</w:t>
      </w:r>
      <w:r w:rsidR="006872B6" w:rsidRPr="006B4E25">
        <w:t xml:space="preserve">tj. </w:t>
      </w:r>
      <w:r w:rsidR="00C43B88" w:rsidRPr="006B4E25">
        <w:t>položaj)</w:t>
      </w:r>
      <w:r w:rsidRPr="006B4E25">
        <w:t>; spoln</w:t>
      </w:r>
      <w:r w:rsidR="00C43B88" w:rsidRPr="006B4E25">
        <w:t>i</w:t>
      </w:r>
      <w:r w:rsidRPr="006B4E25">
        <w:t xml:space="preserve"> </w:t>
      </w:r>
      <w:r w:rsidR="00C43B88" w:rsidRPr="006B4E25">
        <w:t>izraz</w:t>
      </w:r>
      <w:r w:rsidRPr="006B4E25">
        <w:t xml:space="preserve">; spolne značilnosti; jezik; veroizpoved; politično ali drugo mnenje; </w:t>
      </w:r>
      <w:r w:rsidR="00C43B88" w:rsidRPr="006B4E25">
        <w:t>narodno</w:t>
      </w:r>
      <w:r w:rsidRPr="006B4E25">
        <w:t xml:space="preserve">, etnično, </w:t>
      </w:r>
      <w:r w:rsidR="00451CE6" w:rsidRPr="006B4E25">
        <w:t xml:space="preserve">staroselsko </w:t>
      </w:r>
      <w:r w:rsidRPr="006B4E25">
        <w:t xml:space="preserve">ali </w:t>
      </w:r>
      <w:r w:rsidR="00451CE6" w:rsidRPr="006B4E25">
        <w:t xml:space="preserve">družbeno </w:t>
      </w:r>
      <w:r w:rsidRPr="006B4E25">
        <w:t>poreklo; status migranta, begunca ali azila</w:t>
      </w:r>
      <w:r w:rsidR="007D24EC" w:rsidRPr="006B4E25">
        <w:t>nta</w:t>
      </w:r>
      <w:r w:rsidRPr="006B4E25">
        <w:t>; pripadnost narodni manjšini; ekonomski a</w:t>
      </w:r>
      <w:r w:rsidR="007D24EC" w:rsidRPr="006B4E25">
        <w:t>li premoženjski status</w:t>
      </w:r>
      <w:r w:rsidR="00262956" w:rsidRPr="006B4E25">
        <w:t xml:space="preserve"> (tj. </w:t>
      </w:r>
      <w:r w:rsidR="00451CE6" w:rsidRPr="006B4E25">
        <w:t>položaj</w:t>
      </w:r>
      <w:r w:rsidR="00262956" w:rsidRPr="006B4E25">
        <w:t>)</w:t>
      </w:r>
      <w:r w:rsidR="007D24EC" w:rsidRPr="006B4E25">
        <w:t>; rojstvo ter starost</w:t>
      </w:r>
      <w:r w:rsidRPr="006B4E25">
        <w:t xml:space="preserve"> ali kombinacijo katere koli od navedenih </w:t>
      </w:r>
      <w:r w:rsidR="00451CE6" w:rsidRPr="006B4E25">
        <w:t>podlag</w:t>
      </w:r>
      <w:r w:rsidR="00C47F5E" w:rsidRPr="006B4E25">
        <w:t xml:space="preserve"> (tj. osebnih </w:t>
      </w:r>
      <w:r w:rsidRPr="006B4E25">
        <w:t>okoliščin</w:t>
      </w:r>
      <w:r w:rsidR="00C47F5E" w:rsidRPr="006B4E25">
        <w:t>)</w:t>
      </w:r>
      <w:r w:rsidRPr="006B4E25">
        <w:t xml:space="preserve"> ali značilnosti, povezane s katero koli od teh </w:t>
      </w:r>
      <w:r w:rsidR="00451CE6" w:rsidRPr="006B4E25">
        <w:t>podlag</w:t>
      </w:r>
      <w:r w:rsidR="00262956" w:rsidRPr="006B4E25">
        <w:t xml:space="preserve"> (</w:t>
      </w:r>
      <w:proofErr w:type="spellStart"/>
      <w:r w:rsidR="00262956" w:rsidRPr="006B4E25">
        <w:t>tj</w:t>
      </w:r>
      <w:proofErr w:type="spellEnd"/>
      <w:r w:rsidR="00262956" w:rsidRPr="006B4E25">
        <w:t xml:space="preserve"> osebnih </w:t>
      </w:r>
      <w:r w:rsidRPr="006B4E25">
        <w:t>okoliščin</w:t>
      </w:r>
      <w:r w:rsidR="00262956" w:rsidRPr="006B4E25">
        <w:t>)</w:t>
      </w:r>
      <w:r w:rsidRPr="006B4E25">
        <w:t>.</w:t>
      </w:r>
    </w:p>
    <w:p w14:paraId="07231B3B" w14:textId="5A5499F8" w:rsidR="005545DB" w:rsidRPr="006B4E25" w:rsidRDefault="00584594">
      <w:pPr>
        <w:pStyle w:val="SingleTxtG"/>
        <w:numPr>
          <w:ilvl w:val="0"/>
          <w:numId w:val="4"/>
        </w:numPr>
        <w:ind w:left="1134" w:firstLine="0"/>
      </w:pPr>
      <w:r w:rsidRPr="006B4E25">
        <w:t xml:space="preserve">"Enako in učinkovito pravno varstvo pred diskriminacijo" pomeni, da imajo države pogodbenice pozitivne obveznosti za varstvo </w:t>
      </w:r>
      <w:r w:rsidR="00451CE6" w:rsidRPr="006B4E25">
        <w:t xml:space="preserve">ljudi z invalidnostjo </w:t>
      </w:r>
      <w:r w:rsidRPr="006B4E25">
        <w:t xml:space="preserve">pred diskriminacijo ter obveznost, da sprejmejo posebno in celovito </w:t>
      </w:r>
      <w:proofErr w:type="spellStart"/>
      <w:r w:rsidR="00451CE6" w:rsidRPr="006B4E25">
        <w:t>protidskriminacijsko</w:t>
      </w:r>
      <w:proofErr w:type="spellEnd"/>
      <w:r w:rsidR="00451CE6" w:rsidRPr="006B4E25">
        <w:t xml:space="preserve"> </w:t>
      </w:r>
      <w:r w:rsidRPr="006B4E25">
        <w:t xml:space="preserve">zakonodajo. Izrecno zakonsko prepoved diskriminacije na podlagi invalidnosti ter druge diskriminacije ljudi z invalidnostmi v zakonodaji mora spremljati zagotavljanje ustreznih in učinkovitih pravnih sredstev ter sankcij, </w:t>
      </w:r>
      <w:r w:rsidR="00C16C45" w:rsidRPr="006B4E25">
        <w:t xml:space="preserve">tudi glede </w:t>
      </w:r>
      <w:proofErr w:type="spellStart"/>
      <w:r w:rsidR="00C16C45" w:rsidRPr="006B4E25">
        <w:t>intersekcijske</w:t>
      </w:r>
      <w:proofErr w:type="spellEnd"/>
      <w:r w:rsidR="00C16C45" w:rsidRPr="006B4E25">
        <w:t xml:space="preserve"> </w:t>
      </w:r>
      <w:r w:rsidRPr="006B4E25">
        <w:t xml:space="preserve">ali </w:t>
      </w:r>
      <w:r w:rsidR="00C16C45" w:rsidRPr="006B4E25">
        <w:t xml:space="preserve">presečne diskriminacije, </w:t>
      </w:r>
      <w:r w:rsidRPr="006B4E25">
        <w:t>v civilnih, upravnih in kazenskih postopkih. Če gre za diskriminacijo sistemske narave, zgolj dodelitev odškodnine posamezniku morda ne bo imel</w:t>
      </w:r>
      <w:r w:rsidR="007D24EC" w:rsidRPr="006B4E25">
        <w:t>a</w:t>
      </w:r>
      <w:r w:rsidRPr="006B4E25">
        <w:t xml:space="preserve"> nikakršnega učinka v smislu spremembe pristopa. V teh primerih bi morale države pogodbenice v svojo zakonodajo vključiti tudi "v prihodnost usmerjena, nepremoženjska pravna sredstva", kar pomeni, da država pogodbenica </w:t>
      </w:r>
      <w:r w:rsidR="00C16C45" w:rsidRPr="006B4E25">
        <w:t xml:space="preserve">z njimi sama </w:t>
      </w:r>
      <w:r w:rsidRPr="006B4E25">
        <w:t xml:space="preserve">zagotavlja nadaljnjo učinkovito zaščito pred </w:t>
      </w:r>
      <w:r w:rsidR="00C16C45" w:rsidRPr="006B4E25">
        <w:t xml:space="preserve">tako </w:t>
      </w:r>
      <w:r w:rsidRPr="006B4E25">
        <w:t>diskriminacijo, ki jo izvajajo zasebne stranke in organizacije.</w:t>
      </w:r>
    </w:p>
    <w:p w14:paraId="07231B3C" w14:textId="5C315929" w:rsidR="005545DB" w:rsidRPr="006B4E25" w:rsidRDefault="00584594">
      <w:pPr>
        <w:pStyle w:val="H1G"/>
      </w:pPr>
      <w:r w:rsidRPr="006B4E25">
        <w:tab/>
        <w:t>D.</w:t>
      </w:r>
      <w:r w:rsidRPr="006B4E25">
        <w:tab/>
        <w:t xml:space="preserve">Člen 5(3) o </w:t>
      </w:r>
      <w:r w:rsidR="007172F5" w:rsidRPr="006B4E25">
        <w:t xml:space="preserve">razumni </w:t>
      </w:r>
      <w:r w:rsidRPr="006B4E25">
        <w:t>prilagoditvi</w:t>
      </w:r>
    </w:p>
    <w:p w14:paraId="07231B3D" w14:textId="4E1D8D30" w:rsidR="005545DB" w:rsidRPr="006B4E25" w:rsidRDefault="007172F5">
      <w:pPr>
        <w:pStyle w:val="SingleTxtG"/>
        <w:numPr>
          <w:ilvl w:val="0"/>
          <w:numId w:val="4"/>
        </w:numPr>
        <w:ind w:left="1134" w:firstLine="0"/>
      </w:pPr>
      <w:r w:rsidRPr="006B4E25">
        <w:t xml:space="preserve">Razumna </w:t>
      </w:r>
      <w:r w:rsidR="00584594" w:rsidRPr="006B4E25">
        <w:t xml:space="preserve">prilagoditev je bistveni del </w:t>
      </w:r>
      <w:r w:rsidR="00363942" w:rsidRPr="006B4E25">
        <w:t xml:space="preserve">obveznosti zagotavljati nediskriminacijo </w:t>
      </w:r>
      <w:r w:rsidR="00584594" w:rsidRPr="006B4E25">
        <w:t xml:space="preserve">v kontekstu invalidnosti, </w:t>
      </w:r>
      <w:r w:rsidR="00540CD9" w:rsidRPr="006B4E25">
        <w:t>ki</w:t>
      </w:r>
      <w:r w:rsidR="00363942" w:rsidRPr="006B4E25">
        <w:t xml:space="preserve"> </w:t>
      </w:r>
      <w:r w:rsidR="00540CD9" w:rsidRPr="006B4E25">
        <w:t>se</w:t>
      </w:r>
      <w:r w:rsidR="00584594" w:rsidRPr="006B4E25">
        <w:t xml:space="preserve"> uporablja takoj. Primeri </w:t>
      </w:r>
      <w:r w:rsidR="00540CD9" w:rsidRPr="006B4E25">
        <w:t xml:space="preserve">razumnih </w:t>
      </w:r>
      <w:r w:rsidR="00584594" w:rsidRPr="006B4E25">
        <w:t>prilagoditev vključujejo zagotavljanje dostopnosti obstoječih objektov</w:t>
      </w:r>
      <w:r w:rsidR="00540CD9" w:rsidRPr="006B4E25">
        <w:t>, naprav</w:t>
      </w:r>
      <w:r w:rsidR="00584594" w:rsidRPr="006B4E25">
        <w:t xml:space="preserve"> in informacij posamezniku z invalidnostjo</w:t>
      </w:r>
      <w:r w:rsidR="00C34C3E" w:rsidRPr="006B4E25">
        <w:t>,</w:t>
      </w:r>
      <w:r w:rsidR="00584594" w:rsidRPr="006B4E25">
        <w:t xml:space="preserve"> spreminjanje opreme</w:t>
      </w:r>
      <w:r w:rsidR="00C34C3E" w:rsidRPr="006B4E25">
        <w:t xml:space="preserve">, reorganizacijo </w:t>
      </w:r>
      <w:r w:rsidR="00540CD9" w:rsidRPr="006B4E25">
        <w:t>aktivnosti</w:t>
      </w:r>
      <w:r w:rsidR="00C34C3E" w:rsidRPr="006B4E25">
        <w:t>, prerazporeditev dela,</w:t>
      </w:r>
      <w:r w:rsidR="00584594" w:rsidRPr="006B4E25">
        <w:t xml:space="preserve"> prilagajanje učnih</w:t>
      </w:r>
      <w:r w:rsidR="00C34C3E" w:rsidRPr="006B4E25">
        <w:t xml:space="preserve"> gradiv in strategij poučevanja,</w:t>
      </w:r>
      <w:r w:rsidR="00584594" w:rsidRPr="006B4E25">
        <w:t xml:space="preserve"> pri</w:t>
      </w:r>
      <w:r w:rsidR="00C34C3E" w:rsidRPr="006B4E25">
        <w:t>lagajanje medicinskih postopkov</w:t>
      </w:r>
      <w:r w:rsidR="00584594" w:rsidRPr="006B4E25">
        <w:t xml:space="preserve"> ali omogočanje dostopa do podpornega osebja brez nesorazmernega ali nepotrebnega bremena. </w:t>
      </w:r>
    </w:p>
    <w:p w14:paraId="07231B3E" w14:textId="3AAE6683" w:rsidR="005545DB" w:rsidRPr="006B4E25" w:rsidRDefault="00584594">
      <w:pPr>
        <w:pStyle w:val="SingleTxtG"/>
        <w:numPr>
          <w:ilvl w:val="0"/>
          <w:numId w:val="4"/>
        </w:numPr>
        <w:ind w:left="1134" w:firstLine="0"/>
        <w:rPr>
          <w:b/>
        </w:rPr>
      </w:pPr>
      <w:r w:rsidRPr="006B4E25">
        <w:t xml:space="preserve">Dolžnosti </w:t>
      </w:r>
      <w:r w:rsidR="00733938" w:rsidRPr="006B4E25">
        <w:t xml:space="preserve">razumne </w:t>
      </w:r>
      <w:r w:rsidRPr="006B4E25">
        <w:t xml:space="preserve">prilagoditve se razlikujejo od dolžnosti </w:t>
      </w:r>
      <w:r w:rsidR="00733938" w:rsidRPr="006B4E25">
        <w:t>zagotavljati</w:t>
      </w:r>
      <w:r w:rsidRPr="006B4E25">
        <w:t xml:space="preserve"> dostopnost. Cilj obeh je sicer zagotoviti dostopnost, vendar je dolžnost zagotavljanja dostopnosti z univerzalnim oblikovanjem ali podpornimi tehnologijami </w:t>
      </w:r>
      <w:r w:rsidRPr="006B4E25">
        <w:rPr>
          <w:i/>
        </w:rPr>
        <w:t>predhodna</w:t>
      </w:r>
      <w:r w:rsidR="00733938" w:rsidRPr="006B4E25">
        <w:rPr>
          <w:i/>
        </w:rPr>
        <w:t>, vnaprejšnja</w:t>
      </w:r>
      <w:r w:rsidRPr="006B4E25">
        <w:rPr>
          <w:i/>
        </w:rPr>
        <w:t xml:space="preserve"> (</w:t>
      </w:r>
      <w:r w:rsidR="00262956" w:rsidRPr="006B4E25">
        <w:rPr>
          <w:i/>
        </w:rPr>
        <w:t xml:space="preserve">v izvirniku: </w:t>
      </w:r>
      <w:r w:rsidRPr="006B4E25">
        <w:rPr>
          <w:i/>
        </w:rPr>
        <w:t xml:space="preserve">ex </w:t>
      </w:r>
      <w:proofErr w:type="spellStart"/>
      <w:r w:rsidRPr="006B4E25">
        <w:rPr>
          <w:i/>
        </w:rPr>
        <w:t>ante</w:t>
      </w:r>
      <w:proofErr w:type="spellEnd"/>
      <w:r w:rsidRPr="006B4E25">
        <w:rPr>
          <w:i/>
        </w:rPr>
        <w:t>)</w:t>
      </w:r>
      <w:r w:rsidRPr="006B4E25">
        <w:t xml:space="preserve"> dolžnost, medtem ko je dolžnost zagotavljanja </w:t>
      </w:r>
      <w:r w:rsidR="006318FB">
        <w:t xml:space="preserve">razumne </w:t>
      </w:r>
      <w:r w:rsidRPr="006B4E25">
        <w:t xml:space="preserve">prilagoditve </w:t>
      </w:r>
      <w:r w:rsidR="00DC1DDC" w:rsidRPr="006B4E25">
        <w:rPr>
          <w:i/>
          <w:iCs/>
        </w:rPr>
        <w:t>reaktivna</w:t>
      </w:r>
      <w:r w:rsidR="00DC1DDC" w:rsidRPr="006B4E25">
        <w:t xml:space="preserve"> </w:t>
      </w:r>
      <w:r w:rsidRPr="006B4E25">
        <w:rPr>
          <w:i/>
        </w:rPr>
        <w:t>(</w:t>
      </w:r>
      <w:r w:rsidR="00262956" w:rsidRPr="006B4E25">
        <w:rPr>
          <w:i/>
        </w:rPr>
        <w:t xml:space="preserve">v izvirniku: </w:t>
      </w:r>
      <w:r w:rsidRPr="006B4E25">
        <w:rPr>
          <w:i/>
        </w:rPr>
        <w:t>ex nunc)</w:t>
      </w:r>
      <w:r w:rsidRPr="006B4E25">
        <w:t xml:space="preserve"> dolžnost. </w:t>
      </w:r>
    </w:p>
    <w:p w14:paraId="07231B3F" w14:textId="0050D29E" w:rsidR="005545DB" w:rsidRPr="006B4E25" w:rsidRDefault="00584594">
      <w:pPr>
        <w:pStyle w:val="SingleTxtG"/>
        <w:numPr>
          <w:ilvl w:val="1"/>
          <w:numId w:val="4"/>
        </w:numPr>
        <w:ind w:left="1134" w:firstLine="567"/>
        <w:rPr>
          <w:b/>
        </w:rPr>
      </w:pPr>
      <w:r w:rsidRPr="006B4E25">
        <w:t xml:space="preserve">Dostopnost mora biti kot </w:t>
      </w:r>
      <w:r w:rsidR="00B97FB0" w:rsidRPr="006B4E25">
        <w:rPr>
          <w:i/>
        </w:rPr>
        <w:t>vnaprejšnja</w:t>
      </w:r>
      <w:r w:rsidR="00B97FB0" w:rsidRPr="006B4E25">
        <w:t xml:space="preserve"> </w:t>
      </w:r>
      <w:r w:rsidRPr="006B4E25">
        <w:t xml:space="preserve">dolžnost </w:t>
      </w:r>
      <w:r w:rsidRPr="006B4E25">
        <w:rPr>
          <w:rFonts w:cstheme="minorHAnsi"/>
        </w:rPr>
        <w:t>vgrajena v sisteme in procese</w:t>
      </w:r>
      <w:r w:rsidRPr="006B4E25">
        <w:t xml:space="preserve">, in sicer ne glede na potrebo določenega posameznika z invalidnostjo, na primer zagotovljen dostop do stavbe, storitve ali izdelka </w:t>
      </w:r>
      <w:r w:rsidR="00B97FB0" w:rsidRPr="006B4E25">
        <w:t>na izenačeni osnovi</w:t>
      </w:r>
      <w:r w:rsidRPr="006B4E25">
        <w:t xml:space="preserve"> kot drugi</w:t>
      </w:r>
      <w:r w:rsidR="00B97FB0" w:rsidRPr="006B4E25">
        <w:t>m</w:t>
      </w:r>
      <w:r w:rsidRPr="006B4E25">
        <w:t>. Države pogodbenice morajo določiti standarde dostopnosti, ki se razvijejo in sprejmejo po posvetovanju z organizacijami ljudi z invalidnostmi v skladu s členom 4(3) Konvencije. Dolžnost dostopnosti je proaktivna, sistemska dolžnost.</w:t>
      </w:r>
    </w:p>
    <w:p w14:paraId="07231B40" w14:textId="1E66C15D" w:rsidR="005545DB" w:rsidRPr="006B4E25" w:rsidRDefault="00584594">
      <w:pPr>
        <w:pStyle w:val="SingleTxtG"/>
        <w:numPr>
          <w:ilvl w:val="1"/>
          <w:numId w:val="4"/>
        </w:numPr>
        <w:ind w:left="1134" w:firstLine="567"/>
        <w:rPr>
          <w:b/>
        </w:rPr>
      </w:pPr>
      <w:r w:rsidRPr="006B4E25">
        <w:lastRenderedPageBreak/>
        <w:t xml:space="preserve">Kot </w:t>
      </w:r>
      <w:r w:rsidR="00DC1DDC" w:rsidRPr="006B4E25">
        <w:rPr>
          <w:i/>
          <w:iCs/>
        </w:rPr>
        <w:t xml:space="preserve">reaktivna </w:t>
      </w:r>
      <w:r w:rsidR="00984852" w:rsidRPr="006B4E25">
        <w:t xml:space="preserve">(v izvirniku </w:t>
      </w:r>
      <w:r w:rsidR="00B97FB0" w:rsidRPr="006B4E25">
        <w:rPr>
          <w:i/>
        </w:rPr>
        <w:t>ex nunc</w:t>
      </w:r>
      <w:r w:rsidR="00984852" w:rsidRPr="006B4E25">
        <w:rPr>
          <w:iCs/>
        </w:rPr>
        <w:t>)</w:t>
      </w:r>
      <w:r w:rsidR="00B97FB0" w:rsidRPr="006B4E25">
        <w:t xml:space="preserve"> </w:t>
      </w:r>
      <w:r w:rsidRPr="006B4E25">
        <w:t xml:space="preserve">dolžnost je treba zagotoviti </w:t>
      </w:r>
      <w:r w:rsidR="006318FB">
        <w:t xml:space="preserve">razumno </w:t>
      </w:r>
      <w:r w:rsidRPr="006B4E25">
        <w:t>prilagoditev od trenutka, ko posameznik z invalidnostjo potrebuje dostop</w:t>
      </w:r>
      <w:r w:rsidR="00B97FB0" w:rsidRPr="006B4E25">
        <w:t>nost ob</w:t>
      </w:r>
      <w:r w:rsidRPr="006B4E25">
        <w:t xml:space="preserve"> nedostopni situacij</w:t>
      </w:r>
      <w:r w:rsidR="00B97FB0" w:rsidRPr="006B4E25">
        <w:t>i</w:t>
      </w:r>
      <w:r w:rsidRPr="006B4E25">
        <w:t xml:space="preserve"> ali </w:t>
      </w:r>
      <w:r w:rsidR="00B97FB0" w:rsidRPr="006B4E25">
        <w:t xml:space="preserve">okolju </w:t>
      </w:r>
      <w:r w:rsidRPr="006B4E25">
        <w:t>ali ko želi uveljavljati svoje pravice. Za</w:t>
      </w:r>
      <w:r w:rsidR="006318FB">
        <w:t xml:space="preserve"> razumno</w:t>
      </w:r>
      <w:r w:rsidRPr="006B4E25">
        <w:t xml:space="preserve"> prilagoditev pogosto, vendar ne vedno, zaprosi posameznik, ki potrebuje dostop, ali pa predstavniki posameznika ali skupin ljudi. O </w:t>
      </w:r>
      <w:r w:rsidR="006318FB">
        <w:t xml:space="preserve">razumni </w:t>
      </w:r>
      <w:r w:rsidRPr="006B4E25">
        <w:t>prilagoditvi se je treba dogovoriti s prosilcem</w:t>
      </w:r>
      <w:r w:rsidR="00DC1DDC" w:rsidRPr="006B4E25">
        <w:t>(i)</w:t>
      </w:r>
      <w:r w:rsidRPr="006B4E25">
        <w:t xml:space="preserve">. V določenih okoliščinah zagotovljena </w:t>
      </w:r>
      <w:r w:rsidR="006318FB">
        <w:t xml:space="preserve">razumna </w:t>
      </w:r>
      <w:r w:rsidRPr="006B4E25">
        <w:t xml:space="preserve">prilagoditev postane kolektivna ali javna dobrina. V drugih primerih pa zagotovljene </w:t>
      </w:r>
      <w:r w:rsidR="006318FB">
        <w:t xml:space="preserve">razumne </w:t>
      </w:r>
      <w:r w:rsidRPr="006B4E25">
        <w:t xml:space="preserve">prilagoditve koristijo le prosilcu. </w:t>
      </w:r>
      <w:r w:rsidRPr="006B4E25">
        <w:rPr>
          <w:rFonts w:cstheme="minorHAnsi"/>
        </w:rPr>
        <w:t>Dolžnost zagotavljanja</w:t>
      </w:r>
      <w:r w:rsidR="006318FB">
        <w:rPr>
          <w:rFonts w:cstheme="minorHAnsi"/>
        </w:rPr>
        <w:t xml:space="preserve"> razumne</w:t>
      </w:r>
      <w:r w:rsidRPr="006B4E25">
        <w:rPr>
          <w:rFonts w:cstheme="minorHAnsi"/>
        </w:rPr>
        <w:t xml:space="preserve"> prilagoditve</w:t>
      </w:r>
      <w:r w:rsidRPr="006B4E25">
        <w:t xml:space="preserve"> je individualizirana reaktivna dolžnost, ki velja od trenutka prejema prošnje za </w:t>
      </w:r>
      <w:r w:rsidR="00C46322">
        <w:t>konkretno p</w:t>
      </w:r>
      <w:r w:rsidRPr="006B4E25">
        <w:t xml:space="preserve">rilagoditev. </w:t>
      </w:r>
      <w:r w:rsidR="006318FB">
        <w:t xml:space="preserve">Razumna </w:t>
      </w:r>
      <w:r w:rsidRPr="006B4E25">
        <w:t xml:space="preserve">prilagoditev od nosilca dolžnosti zahteva, da začne dialog s posameznikom z invalidnostjo. Pomembno je opozoriti, da dolžnost zagotavljanja </w:t>
      </w:r>
      <w:r w:rsidR="006318FB">
        <w:t xml:space="preserve">razumne </w:t>
      </w:r>
      <w:r w:rsidRPr="006B4E25">
        <w:t xml:space="preserve">prilagoditve ni omejena na situacije, v katerih je posameznik z invalidnostjo zaprosil za prilagoditev ali v katerih bi bilo mogoče dokazati, da se je domnevni nosilec dolžnosti dejansko zavedal invalidnosti </w:t>
      </w:r>
      <w:r w:rsidR="00D01E0D" w:rsidRPr="006B4E25">
        <w:t xml:space="preserve">tega </w:t>
      </w:r>
      <w:r w:rsidRPr="006B4E25">
        <w:t xml:space="preserve">posameznika. Ta dolžnost bi namreč morala veljati tudi v primerih, v katerih bi potencialni nosilec dolžnosti moral uvideti, da ima </w:t>
      </w:r>
      <w:r w:rsidR="00D01E0D" w:rsidRPr="006B4E25">
        <w:t xml:space="preserve">ta </w:t>
      </w:r>
      <w:r w:rsidRPr="006B4E25">
        <w:t xml:space="preserve">posameznik invalidnost, ki bi lahko zahtevala prilagoditve </w:t>
      </w:r>
      <w:r w:rsidRPr="006B4E25">
        <w:rPr>
          <w:rFonts w:cstheme="minorHAnsi"/>
        </w:rPr>
        <w:t>za odpravljanje ovir pri uveljavljanju njegovih pravic</w:t>
      </w:r>
      <w:r w:rsidRPr="006B4E25">
        <w:t>.</w:t>
      </w:r>
    </w:p>
    <w:p w14:paraId="07231B41" w14:textId="42129D0E" w:rsidR="005545DB" w:rsidRPr="006B4E25" w:rsidRDefault="00584594">
      <w:pPr>
        <w:pStyle w:val="SingleTxtG"/>
        <w:numPr>
          <w:ilvl w:val="0"/>
          <w:numId w:val="4"/>
        </w:numPr>
        <w:ind w:left="1134" w:firstLine="0"/>
      </w:pPr>
      <w:r w:rsidRPr="006B4E25">
        <w:t xml:space="preserve">Dolžnost zagotavljanja </w:t>
      </w:r>
      <w:r w:rsidR="006318FB">
        <w:t xml:space="preserve">razumne </w:t>
      </w:r>
      <w:r w:rsidRPr="006B4E25">
        <w:t xml:space="preserve">prilagoditve v skladu s členoma 2 in 5 Konvencije se lahko razdeli na dva sestavna dela. Prvi del nalaga pozitivno pravno obveznost, da se zagotovi </w:t>
      </w:r>
      <w:r w:rsidR="006318FB">
        <w:t xml:space="preserve">razumna </w:t>
      </w:r>
      <w:r w:rsidRPr="006B4E25">
        <w:t xml:space="preserve">prilagoditev, ki pomeni spremembo ali prilagoditev, ki je potrebna in </w:t>
      </w:r>
      <w:r w:rsidR="006318FB">
        <w:t xml:space="preserve">razumna </w:t>
      </w:r>
      <w:r w:rsidRPr="006B4E25">
        <w:t xml:space="preserve">takrat, ko je v določenem primeru zahtevana zato, da lahko posameznik z invalidnostjo uživa ali uveljavlja svoje pravice. Drugi del te dolžnosti zagotavlja, da te zahtevane prilagoditve ne nalagajo nesorazmernega ali nepotrebnega bremena nosilcu dolžnosti. </w:t>
      </w:r>
    </w:p>
    <w:p w14:paraId="07231B42" w14:textId="4E4C21BE" w:rsidR="005545DB" w:rsidRPr="006B4E25" w:rsidRDefault="00584594">
      <w:pPr>
        <w:pStyle w:val="SingleTxtG"/>
        <w:numPr>
          <w:ilvl w:val="0"/>
          <w:numId w:val="7"/>
        </w:numPr>
        <w:ind w:left="1134" w:firstLine="567"/>
      </w:pPr>
      <w:r w:rsidRPr="006B4E25">
        <w:t>"</w:t>
      </w:r>
      <w:r w:rsidR="006318FB">
        <w:t>Razumna</w:t>
      </w:r>
      <w:r w:rsidRPr="006B4E25">
        <w:t xml:space="preserve"> prilagoditev" je izraz, ki ga je treba razumeti kot besedno zvezo, zato se besede "</w:t>
      </w:r>
      <w:r w:rsidR="00984852" w:rsidRPr="006B4E25">
        <w:t>razumna</w:t>
      </w:r>
      <w:r w:rsidRPr="006B4E25">
        <w:t>" ne sme razumeti kot klavzule o izjemi; koncept "</w:t>
      </w:r>
      <w:r w:rsidR="00D01E0D" w:rsidRPr="006B4E25">
        <w:t>razumnosti</w:t>
      </w:r>
      <w:r w:rsidRPr="006B4E25">
        <w:t xml:space="preserve">" namreč ne sme delovati kot določilo </w:t>
      </w:r>
      <w:r w:rsidR="00D01E0D" w:rsidRPr="006B4E25">
        <w:t xml:space="preserve">ki bi urejalo ali spreminjalo </w:t>
      </w:r>
      <w:r w:rsidRPr="006B4E25">
        <w:t xml:space="preserve">dolžnost. Ne gre za sredstvo, s katerim bi lahko ocenili stroške prilagoditve ali razpoložljivost virov – to se namreč opravi pozneje, ko se izvede ocena "nesorazmernega ali nepotrebnega bremena". Namesto tega je </w:t>
      </w:r>
      <w:r w:rsidR="006318FB">
        <w:t xml:space="preserve">razumnost </w:t>
      </w:r>
      <w:r w:rsidRPr="006B4E25">
        <w:t xml:space="preserve">prilagoditve sklicevanje na njeno ustreznost, primernost in učinkovitost za posameznika z invalidnostjo. Prilagoditev je torej </w:t>
      </w:r>
      <w:r w:rsidR="00A57515" w:rsidRPr="006B4E25">
        <w:t>razumna</w:t>
      </w:r>
      <w:r w:rsidRPr="006B4E25">
        <w:t>, če dosega namen (ali namene), za katerega je bila izvedena, in če je p</w:t>
      </w:r>
      <w:r w:rsidR="00C46322">
        <w:t>rikrojena</w:t>
      </w:r>
      <w:r w:rsidRPr="006B4E25">
        <w:t xml:space="preserve"> tako, da ustreza potrebam posameznika z invalidnostjo</w:t>
      </w:r>
      <w:r w:rsidR="00C34C3E" w:rsidRPr="006B4E25">
        <w:t>.</w:t>
      </w:r>
    </w:p>
    <w:p w14:paraId="07231B43" w14:textId="5F58410F" w:rsidR="005545DB" w:rsidRPr="006B4E25" w:rsidRDefault="00584594">
      <w:pPr>
        <w:pStyle w:val="SingleTxtG"/>
        <w:numPr>
          <w:ilvl w:val="0"/>
          <w:numId w:val="7"/>
        </w:numPr>
        <w:ind w:left="1134" w:firstLine="567"/>
      </w:pPr>
      <w:r w:rsidRPr="006B4E25">
        <w:t xml:space="preserve">"Nesorazmerno ali nepotrebno breme" je treba razumeti kot en sam koncept, ki določa omejitev dolžnosti zagotavljanja </w:t>
      </w:r>
      <w:r w:rsidR="006318FB">
        <w:t>razumn</w:t>
      </w:r>
      <w:r w:rsidRPr="006B4E25">
        <w:t xml:space="preserve">e prilagoditve. Oba izraza je treba obravnavati kot sopomenki, saj se nanašata na isto zamisel: da mora biti zahteva po </w:t>
      </w:r>
      <w:r w:rsidR="006318FB">
        <w:t xml:space="preserve">razumni </w:t>
      </w:r>
      <w:r w:rsidRPr="006B4E25">
        <w:t xml:space="preserve">prilagoditvi vezana na morebitno prekomerno ali neupravičeno breme za </w:t>
      </w:r>
      <w:r w:rsidR="0031211B" w:rsidRPr="006B4E25">
        <w:t>tistega</w:t>
      </w:r>
      <w:r w:rsidRPr="006B4E25">
        <w:t>, ki</w:t>
      </w:r>
      <w:r w:rsidR="00C443A8" w:rsidRPr="006B4E25">
        <w:t xml:space="preserve"> mora poskrbeti za prilagoditev.</w:t>
      </w:r>
    </w:p>
    <w:p w14:paraId="07231B44" w14:textId="373DE1D8" w:rsidR="005545DB" w:rsidRPr="009B2952" w:rsidRDefault="00584594">
      <w:pPr>
        <w:pStyle w:val="SingleTxtG"/>
        <w:numPr>
          <w:ilvl w:val="0"/>
          <w:numId w:val="7"/>
        </w:numPr>
        <w:ind w:left="1134" w:firstLine="567"/>
      </w:pPr>
      <w:r w:rsidRPr="006B4E25">
        <w:t>"</w:t>
      </w:r>
      <w:r w:rsidR="006318FB">
        <w:t>Razumne prilagoditve</w:t>
      </w:r>
      <w:r w:rsidRPr="006B4E25">
        <w:t xml:space="preserve">" se prav tako ne sme zamenjati s "posebnimi ukrepi", vključno s "spodbujevalnimi ukrepi". Oba koncepta sta sicer namenjena doseganju </w:t>
      </w:r>
      <w:r w:rsidRPr="006B4E25">
        <w:rPr>
          <w:i/>
        </w:rPr>
        <w:t>dejanske</w:t>
      </w:r>
      <w:r w:rsidRPr="006B4E25">
        <w:t xml:space="preserve"> enakosti, vendar je </w:t>
      </w:r>
      <w:r w:rsidR="006318FB">
        <w:t xml:space="preserve">razumna </w:t>
      </w:r>
      <w:r w:rsidRPr="006B4E25">
        <w:t xml:space="preserve">prilagoditev </w:t>
      </w:r>
      <w:proofErr w:type="spellStart"/>
      <w:r w:rsidRPr="006B4E25">
        <w:t>nediskriminacijska</w:t>
      </w:r>
      <w:proofErr w:type="spellEnd"/>
      <w:r w:rsidRPr="006B4E25">
        <w:t xml:space="preserve"> dolžnost, medtem ko "posebni ukrepi" pomenijo prednostno obravnavo ljudi z invalidnostmi v primerjavi z drugimi </w:t>
      </w:r>
      <w:r w:rsidRPr="006B4E25">
        <w:rPr>
          <w:rFonts w:cstheme="minorHAnsi"/>
        </w:rPr>
        <w:t xml:space="preserve">z namenom obravnavanja zgodovinske in/ali sistematične/sistemske izključenosti </w:t>
      </w:r>
      <w:r w:rsidR="0031211B" w:rsidRPr="006B4E25">
        <w:rPr>
          <w:rFonts w:cstheme="minorHAnsi"/>
        </w:rPr>
        <w:t>od</w:t>
      </w:r>
      <w:r w:rsidRPr="006B4E25">
        <w:rPr>
          <w:rFonts w:cstheme="minorHAnsi"/>
        </w:rPr>
        <w:t xml:space="preserve"> ugodnosti</w:t>
      </w:r>
      <w:r w:rsidR="0031211B" w:rsidRPr="006B4E25">
        <w:rPr>
          <w:rFonts w:cstheme="minorHAnsi"/>
        </w:rPr>
        <w:t>, ki izhajajo iz</w:t>
      </w:r>
      <w:r w:rsidRPr="006B4E25">
        <w:rPr>
          <w:rFonts w:cstheme="minorHAnsi"/>
        </w:rPr>
        <w:t xml:space="preserve"> uveljavljanja pravic</w:t>
      </w:r>
      <w:r w:rsidRPr="006B4E25">
        <w:t xml:space="preserve">. Primeri posebnih ukrepov vključujejo: začasne ukrepe za preprečevanje premajhnega števila žensk z invalidnostmi, zaposlenih v zasebnem sektorju, ter podporne programe za povečanje števila ljudi z invalidnostmi v terciarnem izobraževanju. Podobno se </w:t>
      </w:r>
      <w:r w:rsidR="006318FB">
        <w:t xml:space="preserve">razumnih </w:t>
      </w:r>
      <w:r w:rsidRPr="006B4E25">
        <w:t xml:space="preserve">prilagoditev ne sme zamenjevati z zagotavljanjem podpore, kot so </w:t>
      </w:r>
      <w:r w:rsidRPr="00886C8F">
        <w:t>npr</w:t>
      </w:r>
      <w:r w:rsidRPr="006B4E25">
        <w:t xml:space="preserve">. osebni pomočniki, na podlagi pravice do neodvisnega življenja </w:t>
      </w:r>
      <w:r w:rsidR="00C443A8" w:rsidRPr="006B4E25">
        <w:t xml:space="preserve">in </w:t>
      </w:r>
      <w:r w:rsidR="00C443A8" w:rsidRPr="009B2952">
        <w:t>vključenosti v skupnost</w:t>
      </w:r>
      <w:r w:rsidRPr="009B2952">
        <w:t xml:space="preserve"> ali z zagotavljanjem podpore za u</w:t>
      </w:r>
      <w:r w:rsidR="00C443A8" w:rsidRPr="009B2952">
        <w:t>veljavljanje pravne</w:t>
      </w:r>
      <w:r w:rsidR="0031211B" w:rsidRPr="009B2952">
        <w:t xml:space="preserve"> (tudi poslovne in drugih oblik)</w:t>
      </w:r>
      <w:r w:rsidR="00C443A8" w:rsidRPr="009B2952">
        <w:t xml:space="preserve"> sposobnosti.</w:t>
      </w:r>
    </w:p>
    <w:p w14:paraId="07231B45" w14:textId="74C461BF" w:rsidR="005545DB" w:rsidRPr="009B2952" w:rsidRDefault="00584594">
      <w:pPr>
        <w:pStyle w:val="SingleTxtG"/>
        <w:numPr>
          <w:ilvl w:val="0"/>
          <w:numId w:val="7"/>
        </w:numPr>
        <w:ind w:left="1134" w:firstLine="567"/>
      </w:pPr>
      <w:r w:rsidRPr="009B2952">
        <w:t xml:space="preserve">"Postopkovnih prilagoditev" se v kontekstu dostopa do </w:t>
      </w:r>
      <w:r w:rsidR="007B467F" w:rsidRPr="009B2952">
        <w:t>pravosodja</w:t>
      </w:r>
      <w:r w:rsidRPr="009B2952">
        <w:t xml:space="preserve"> ne sme zamenjati </w:t>
      </w:r>
      <w:r w:rsidR="006318FB" w:rsidRPr="009B2952">
        <w:t xml:space="preserve">z razumnimi </w:t>
      </w:r>
      <w:r w:rsidRPr="009B2952">
        <w:t>prilagoditvami; medtem ko so slednje omejene s konceptom nesorazmernosti, to za postopkovne prilagoditve</w:t>
      </w:r>
      <w:r w:rsidR="007B467F" w:rsidRPr="009B2952">
        <w:t xml:space="preserve"> ne velja</w:t>
      </w:r>
      <w:r w:rsidRPr="009B2952">
        <w:t>.</w:t>
      </w:r>
    </w:p>
    <w:p w14:paraId="07231B46" w14:textId="09621877" w:rsidR="005545DB" w:rsidRPr="006B4E25" w:rsidRDefault="00584594">
      <w:pPr>
        <w:pStyle w:val="SingleTxtG"/>
        <w:numPr>
          <w:ilvl w:val="0"/>
          <w:numId w:val="4"/>
        </w:numPr>
        <w:ind w:left="1134" w:firstLine="0"/>
      </w:pPr>
      <w:r w:rsidRPr="006B4E25">
        <w:t xml:space="preserve">Ključni elementi, ki usmerjajo izvajanje dolžnosti zagotavljanja </w:t>
      </w:r>
      <w:r w:rsidR="006318FB">
        <w:t xml:space="preserve">razumne </w:t>
      </w:r>
      <w:r w:rsidRPr="006B4E25">
        <w:t>prilagoditve, so med drugim naslednji:</w:t>
      </w:r>
    </w:p>
    <w:p w14:paraId="5F6D56B3" w14:textId="0BCC0E09" w:rsidR="005545DB" w:rsidRPr="006B4E25" w:rsidRDefault="00C443A8">
      <w:pPr>
        <w:pStyle w:val="SingleTxtG"/>
        <w:numPr>
          <w:ilvl w:val="0"/>
          <w:numId w:val="8"/>
        </w:numPr>
        <w:ind w:left="1134" w:firstLine="567"/>
      </w:pPr>
      <w:r w:rsidRPr="006B4E25">
        <w:t>p</w:t>
      </w:r>
      <w:r w:rsidR="00584594" w:rsidRPr="006B4E25">
        <w:t xml:space="preserve">repoznavanje in odstranjevanje ovir, ki vplivajo na uživanje človekovih pravic ljudi z invalidnostmi v dialogu </w:t>
      </w:r>
      <w:r w:rsidR="007B467F" w:rsidRPr="006B4E25">
        <w:t xml:space="preserve">s </w:t>
      </w:r>
      <w:r w:rsidR="00C46322">
        <w:t>konkretnim</w:t>
      </w:r>
      <w:r w:rsidR="00584594" w:rsidRPr="006B4E25">
        <w:t xml:space="preserve"> posameznikom z invalidnostjo; </w:t>
      </w:r>
    </w:p>
    <w:p w14:paraId="07231B48" w14:textId="13514D26" w:rsidR="005545DB" w:rsidRPr="006B4E25" w:rsidRDefault="00C443A8">
      <w:pPr>
        <w:pStyle w:val="SingleTxtG"/>
        <w:numPr>
          <w:ilvl w:val="0"/>
          <w:numId w:val="8"/>
        </w:numPr>
        <w:ind w:left="1134" w:firstLine="567"/>
      </w:pPr>
      <w:r w:rsidRPr="006B4E25">
        <w:lastRenderedPageBreak/>
        <w:t>o</w:t>
      </w:r>
      <w:r w:rsidR="00584594" w:rsidRPr="006B4E25">
        <w:t>cenjevanje</w:t>
      </w:r>
      <w:r w:rsidR="006318FB">
        <w:t>,</w:t>
      </w:r>
      <w:r w:rsidR="00584594" w:rsidRPr="006B4E25">
        <w:t xml:space="preserve"> ali je prilagoditev izvedljiva (pravno ali v praksi). Prilagoditev, ki je je pravno ali materialno nemogoča, je neizvedljiva; </w:t>
      </w:r>
    </w:p>
    <w:p w14:paraId="07231B49" w14:textId="336C8767" w:rsidR="005545DB" w:rsidRPr="006B4E25" w:rsidRDefault="00C443A8">
      <w:pPr>
        <w:pStyle w:val="SingleTxtG"/>
        <w:numPr>
          <w:ilvl w:val="0"/>
          <w:numId w:val="8"/>
        </w:numPr>
        <w:ind w:left="1134" w:firstLine="567"/>
      </w:pPr>
      <w:r w:rsidRPr="006B4E25">
        <w:t>o</w:t>
      </w:r>
      <w:r w:rsidR="00584594" w:rsidRPr="006B4E25">
        <w:t xml:space="preserve">cenjevanje, ali je prilagoditev relevantna (tj. ali je potrebna in ustrezna) ali učinkovita z namenom zagotavljanja uresničevanja </w:t>
      </w:r>
      <w:r w:rsidR="00A9737D" w:rsidRPr="006B4E25">
        <w:t xml:space="preserve">konkretne </w:t>
      </w:r>
      <w:r w:rsidR="00584594" w:rsidRPr="006B4E25">
        <w:t>pravice;</w:t>
      </w:r>
    </w:p>
    <w:p w14:paraId="07231B4A" w14:textId="50614D10" w:rsidR="005545DB" w:rsidRPr="006B4E25" w:rsidRDefault="00C443A8">
      <w:pPr>
        <w:pStyle w:val="SingleTxtG"/>
        <w:numPr>
          <w:ilvl w:val="0"/>
          <w:numId w:val="8"/>
        </w:numPr>
        <w:ind w:left="1134" w:firstLine="567"/>
      </w:pPr>
      <w:r w:rsidRPr="006B4E25">
        <w:t>o</w:t>
      </w:r>
      <w:r w:rsidR="00584594" w:rsidRPr="006B4E25">
        <w:t>cenjevanje, ali sprememba</w:t>
      </w:r>
      <w:r w:rsidR="00A9737D" w:rsidRPr="006B4E25">
        <w:t xml:space="preserve"> (prakse)</w:t>
      </w:r>
      <w:r w:rsidR="00584594" w:rsidRPr="006B4E25">
        <w:t xml:space="preserve"> nalaga nesorazmerno ali nepotrebno breme nosilcu dolžnosti; ugotavljanje, ali je razumna prilagoditev nesorazmerna ali nepotrebno obremenjujoča, zahteva oceno </w:t>
      </w:r>
      <w:r w:rsidR="006318FB">
        <w:t>razmerja sorazmernosti m</w:t>
      </w:r>
      <w:r w:rsidR="00584594" w:rsidRPr="006B4E25">
        <w:t xml:space="preserve">ed uporabljenimi sredstvi in njihovim ciljem, ki je uživanje </w:t>
      </w:r>
      <w:r w:rsidR="00A9737D" w:rsidRPr="006B4E25">
        <w:t xml:space="preserve">konkretne </w:t>
      </w:r>
      <w:r w:rsidR="00584594" w:rsidRPr="006B4E25">
        <w:t xml:space="preserve">pravice; </w:t>
      </w:r>
    </w:p>
    <w:p w14:paraId="07231B4B" w14:textId="3B540AA2" w:rsidR="005545DB" w:rsidRPr="006B4E25" w:rsidRDefault="00C443A8">
      <w:pPr>
        <w:pStyle w:val="SingleTxtG"/>
        <w:numPr>
          <w:ilvl w:val="0"/>
          <w:numId w:val="8"/>
        </w:numPr>
        <w:ind w:left="1134" w:firstLine="567"/>
      </w:pPr>
      <w:r w:rsidRPr="006B4E25">
        <w:t>z</w:t>
      </w:r>
      <w:r w:rsidR="00584594" w:rsidRPr="006B4E25">
        <w:t xml:space="preserve">agotavljanje, da je </w:t>
      </w:r>
      <w:r w:rsidR="006318FB">
        <w:t xml:space="preserve">razumna </w:t>
      </w:r>
      <w:r w:rsidR="00584594" w:rsidRPr="006B4E25">
        <w:t xml:space="preserve">prilagoditev primerna za doseganje bistvenega cilja spodbujanja enakosti in odprave diskriminacije ljudi z invalidnostmi. Zato je treba opraviti oceno vsakega posameznega primera na podlagi posvetovanj </w:t>
      </w:r>
      <w:r w:rsidR="00932BDA" w:rsidRPr="006B4E25">
        <w:t>s tistim</w:t>
      </w:r>
      <w:r w:rsidR="006318FB">
        <w:t xml:space="preserve"> </w:t>
      </w:r>
      <w:r w:rsidR="00A9737D" w:rsidRPr="006B4E25">
        <w:t>subjektom</w:t>
      </w:r>
      <w:r w:rsidR="00584594" w:rsidRPr="006B4E25">
        <w:t xml:space="preserve">, ki je zadolžen za zadevno </w:t>
      </w:r>
      <w:r w:rsidR="006318FB">
        <w:t xml:space="preserve">razumno </w:t>
      </w:r>
      <w:r w:rsidR="00584594" w:rsidRPr="006B4E25">
        <w:t xml:space="preserve">prilagoditev, ter </w:t>
      </w:r>
      <w:r w:rsidR="00932BDA" w:rsidRPr="006B4E25">
        <w:t xml:space="preserve">s konkretnim </w:t>
      </w:r>
      <w:r w:rsidR="00584594" w:rsidRPr="006B4E25">
        <w:t>posameznikom. Morebitni dejavniki, ki jih je treba upoštevati, vključujejo finančne stroške, razpoložljiva sredstva (vključno z javnimi subvencijami), velikost subjekta, ki mora poskrbeti za prilagoditev (v celoti), učinek spremembe na institucijo ali podjetje, koristi za tretje osebe, negativne vplive na preostale osebe ter razumne zdravstvene in varnostne zahteve. Kar zadeva državo pogodbenico kot celoto ter subjekte zasebnega sektorja, je treba upoštevati celotno premoženje in ne le vire zadevne enote ali oddelka v organizacijski strukturi;</w:t>
      </w:r>
    </w:p>
    <w:p w14:paraId="07231B4C" w14:textId="6F1E099C" w:rsidR="005545DB" w:rsidRPr="006B4E25" w:rsidRDefault="00C443A8">
      <w:pPr>
        <w:pStyle w:val="SingleTxtG"/>
        <w:numPr>
          <w:ilvl w:val="0"/>
          <w:numId w:val="8"/>
        </w:numPr>
        <w:ind w:left="1134" w:firstLine="567"/>
      </w:pPr>
      <w:r w:rsidRPr="006B4E25">
        <w:t>z</w:t>
      </w:r>
      <w:r w:rsidR="00584594" w:rsidRPr="006B4E25">
        <w:t>agotavljanje, da posameznik z invalidnostjo in ljudje z invalidnostmi ne nosijo stroškov v širšem smislu;</w:t>
      </w:r>
    </w:p>
    <w:p w14:paraId="07231B4D" w14:textId="44F983F6" w:rsidR="005545DB" w:rsidRPr="006B4E25" w:rsidRDefault="00C443A8">
      <w:pPr>
        <w:pStyle w:val="SingleTxtG"/>
        <w:numPr>
          <w:ilvl w:val="0"/>
          <w:numId w:val="8"/>
        </w:numPr>
        <w:ind w:left="1134" w:firstLine="567"/>
      </w:pPr>
      <w:r w:rsidRPr="006B4E25">
        <w:t>z</w:t>
      </w:r>
      <w:r w:rsidR="00584594" w:rsidRPr="006B4E25">
        <w:t>agotavljanje, da breme dokazovanja nosi nosilec dolžnosti, ki trdi, da bi bilo njegovo breme nesorazmerno ali neupravičeno.</w:t>
      </w:r>
    </w:p>
    <w:p w14:paraId="07231B4E" w14:textId="11D1043D" w:rsidR="005545DB" w:rsidRPr="006B4E25" w:rsidRDefault="00584594">
      <w:pPr>
        <w:pStyle w:val="SingleTxtG"/>
        <w:numPr>
          <w:ilvl w:val="0"/>
          <w:numId w:val="4"/>
        </w:numPr>
        <w:ind w:left="1134" w:firstLine="0"/>
      </w:pPr>
      <w:r w:rsidRPr="006B4E25">
        <w:t xml:space="preserve">Vsaka utemeljitev odrekanja </w:t>
      </w:r>
      <w:r w:rsidR="006318FB">
        <w:t xml:space="preserve">razumne </w:t>
      </w:r>
      <w:r w:rsidRPr="006B4E25">
        <w:t xml:space="preserve">prilagoditve mora temeljiti na objektivnih merilih, prav tako pa jo je treba tudi analizirati in pravočasno sporočiti </w:t>
      </w:r>
      <w:r w:rsidR="00932BDA" w:rsidRPr="006B4E25">
        <w:t>konkret</w:t>
      </w:r>
      <w:r w:rsidR="006318FB">
        <w:t>ne</w:t>
      </w:r>
      <w:r w:rsidR="00932BDA" w:rsidRPr="006B4E25">
        <w:t xml:space="preserve">mu </w:t>
      </w:r>
      <w:r w:rsidRPr="006B4E25">
        <w:t xml:space="preserve">posamezniku z invalidnostjo. Preizkus upravičenosti </w:t>
      </w:r>
      <w:r w:rsidR="00932BDA" w:rsidRPr="006B4E25">
        <w:t>izjeme</w:t>
      </w:r>
      <w:r w:rsidRPr="006B4E25">
        <w:t xml:space="preserve"> o</w:t>
      </w:r>
      <w:r w:rsidR="00932BDA" w:rsidRPr="006B4E25">
        <w:t>d</w:t>
      </w:r>
      <w:r w:rsidRPr="006B4E25">
        <w:t xml:space="preserve"> </w:t>
      </w:r>
      <w:r w:rsidR="006318FB">
        <w:t xml:space="preserve">razumne </w:t>
      </w:r>
      <w:r w:rsidRPr="006B4E25">
        <w:t>prilagoditve je povezan z dolžino</w:t>
      </w:r>
      <w:r w:rsidR="00932BDA" w:rsidRPr="006B4E25">
        <w:t xml:space="preserve"> trajanja</w:t>
      </w:r>
      <w:r w:rsidRPr="006B4E25">
        <w:t xml:space="preserve"> razmerja med nosilcem dolžnosti in </w:t>
      </w:r>
      <w:r w:rsidR="006318FB">
        <w:t>nosilcem pra</w:t>
      </w:r>
      <w:r w:rsidRPr="006B4E25">
        <w:t xml:space="preserve">vic. </w:t>
      </w:r>
    </w:p>
    <w:p w14:paraId="07231B4F" w14:textId="5EC8C94E" w:rsidR="005545DB" w:rsidRPr="006B4E25" w:rsidRDefault="00584594">
      <w:pPr>
        <w:pStyle w:val="H1G"/>
      </w:pPr>
      <w:r w:rsidRPr="006B4E25">
        <w:tab/>
        <w:t>E.</w:t>
      </w:r>
      <w:r w:rsidRPr="006B4E25">
        <w:tab/>
        <w:t>Člen 5(4) o posebnih ukrepih</w:t>
      </w:r>
    </w:p>
    <w:p w14:paraId="07231B50" w14:textId="0202BC18" w:rsidR="005545DB" w:rsidRPr="006B4E25" w:rsidRDefault="00584594">
      <w:pPr>
        <w:pStyle w:val="SingleTxtG"/>
        <w:numPr>
          <w:ilvl w:val="0"/>
          <w:numId w:val="4"/>
        </w:numPr>
        <w:ind w:left="1134" w:firstLine="0"/>
      </w:pPr>
      <w:r w:rsidRPr="006B4E25">
        <w:t>Posebni ukrepi, ki se ne obravnavajo kot diskriminacija, so pozitivni ali spodbujevalni ukrepi</w:t>
      </w:r>
      <w:r w:rsidR="005224B8" w:rsidRPr="006B4E25">
        <w:t>, katerih cilj je pospešiti ali</w:t>
      </w:r>
      <w:r w:rsidRPr="006B4E25">
        <w:t xml:space="preserve"> doseči </w:t>
      </w:r>
      <w:r w:rsidRPr="006B4E25">
        <w:rPr>
          <w:i/>
        </w:rPr>
        <w:t>dejansko</w:t>
      </w:r>
      <w:r w:rsidRPr="006B4E25">
        <w:t xml:space="preserve"> </w:t>
      </w:r>
      <w:r w:rsidR="004C3376" w:rsidRPr="006B4E25">
        <w:t xml:space="preserve">(v izvirniku: de </w:t>
      </w:r>
      <w:proofErr w:type="spellStart"/>
      <w:r w:rsidR="004C3376" w:rsidRPr="006B4E25">
        <w:t>facto</w:t>
      </w:r>
      <w:proofErr w:type="spellEnd"/>
      <w:r w:rsidR="004C3376" w:rsidRPr="006B4E25">
        <w:t xml:space="preserve">) </w:t>
      </w:r>
      <w:r w:rsidRPr="006B4E25">
        <w:t>enakost ljudi z invalidnostmi.</w:t>
      </w:r>
      <w:r w:rsidR="00D4249E" w:rsidRPr="006B4E25">
        <w:t xml:space="preserve"> </w:t>
      </w:r>
      <w:r w:rsidRPr="006B4E25">
        <w:t xml:space="preserve">Taki ukrepi so navedeni v drugih mednarodnih pogodbah o človekovih pravicah, npr. v členu 4 Konvencije o odpravi vseh oblik diskriminacije žensk ali v členu 1(4) Mednarodne konvencije o odpravi vseh oblik rasne diskriminacije, ter vključujejo sprejetje ali ohranitev določenih prednosti v korist </w:t>
      </w:r>
      <w:proofErr w:type="spellStart"/>
      <w:r w:rsidR="004C3376" w:rsidRPr="006B4E25">
        <w:t>pod</w:t>
      </w:r>
      <w:r w:rsidRPr="006B4E25">
        <w:t>zastopane</w:t>
      </w:r>
      <w:proofErr w:type="spellEnd"/>
      <w:r w:rsidRPr="006B4E25">
        <w:t xml:space="preserve"> ali marginalizirane skupine. Običajno so ti ukrepi začasne narave, čeprav so v nekaterih primerih potrebni stalni posebni ukrepi, kar je odvisno od konteksta in okoliščin, tudi zaradi določene </w:t>
      </w:r>
      <w:r w:rsidR="004C3376" w:rsidRPr="006B4E25">
        <w:t xml:space="preserve">okvare </w:t>
      </w:r>
      <w:r w:rsidRPr="006B4E25">
        <w:t xml:space="preserve">ali strukturnih ovir </w:t>
      </w:r>
      <w:r w:rsidR="004C3376" w:rsidRPr="006B4E25">
        <w:t>v družbi</w:t>
      </w:r>
      <w:r w:rsidRPr="006B4E25">
        <w:t>. Primeri posebnih ukrepov vključujejo programe za ozaveščanje in podporo, dodelitev in/ali prerazd</w:t>
      </w:r>
      <w:r w:rsidR="004C3376" w:rsidRPr="006B4E25">
        <w:t>el</w:t>
      </w:r>
      <w:r w:rsidRPr="006B4E25">
        <w:t xml:space="preserve">itev virov, ciljno zaposlovanje, najemanje in napredovanje, sisteme kvot, ukrepe za napredovanje in </w:t>
      </w:r>
      <w:proofErr w:type="spellStart"/>
      <w:r w:rsidRPr="006B4E25">
        <w:t>opolnomočenje</w:t>
      </w:r>
      <w:proofErr w:type="spellEnd"/>
      <w:r w:rsidRPr="006B4E25">
        <w:t xml:space="preserve"> ter nadomestno oskrbo in tehnološke pripomočke</w:t>
      </w:r>
      <w:r w:rsidRPr="006B4E25">
        <w:rPr>
          <w:b/>
        </w:rPr>
        <w:t>.</w:t>
      </w:r>
    </w:p>
    <w:p w14:paraId="07231B51" w14:textId="22EFD5EA" w:rsidR="005545DB" w:rsidRPr="006B4E25" w:rsidRDefault="00584594">
      <w:pPr>
        <w:pStyle w:val="SingleTxtG"/>
        <w:numPr>
          <w:ilvl w:val="0"/>
          <w:numId w:val="4"/>
        </w:numPr>
        <w:ind w:left="1134" w:firstLine="0"/>
      </w:pPr>
      <w:r w:rsidRPr="006B4E25">
        <w:t xml:space="preserve">Posebni ukrepi, ki jih države pogodbenice sprejmejo v skladu s členom 5(4) Konvencije, morajo biti skladni z vsemi načeli in določbami Konvencije. Zlasti pa ne smejo povzročiti ohranjanja nadaljnje izolacije, segregacije, </w:t>
      </w:r>
      <w:proofErr w:type="spellStart"/>
      <w:r w:rsidR="000228BE" w:rsidRPr="006B4E25">
        <w:t>stereotipiziranja</w:t>
      </w:r>
      <w:proofErr w:type="spellEnd"/>
      <w:r w:rsidRPr="006B4E25">
        <w:t>, stigmatizacije ali druge diskriminacije ljudi z invalidnostmi. Zato se morajo države pogodbenice pri sprejemanju posebnih ukrepov podrobno posvetovati z reprezentativnimi organizacijami ljudi z invalidnostmi in jih dejavno vključiti v postopek.</w:t>
      </w:r>
    </w:p>
    <w:p w14:paraId="07231B52" w14:textId="77777777" w:rsidR="005545DB" w:rsidRPr="006B4E25" w:rsidRDefault="00584594">
      <w:pPr>
        <w:pStyle w:val="HChG"/>
      </w:pPr>
      <w:r w:rsidRPr="006B4E25">
        <w:tab/>
        <w:t>VI.</w:t>
      </w:r>
      <w:r w:rsidRPr="006B4E25">
        <w:tab/>
        <w:t>Splošne obveznosti držav pogodbenic Konvencije v zvezi z nediskriminacijo in enakostjo</w:t>
      </w:r>
    </w:p>
    <w:p w14:paraId="07231B53" w14:textId="4CFFC0F5" w:rsidR="005545DB" w:rsidRPr="006B4E25" w:rsidRDefault="00584594">
      <w:pPr>
        <w:pStyle w:val="SingleTxtG"/>
        <w:numPr>
          <w:ilvl w:val="0"/>
          <w:numId w:val="4"/>
        </w:numPr>
        <w:ind w:left="1134" w:firstLine="0"/>
      </w:pPr>
      <w:r w:rsidRPr="006B4E25">
        <w:t xml:space="preserve">Države pogodbenice so dolžne spoštovati, varovati in </w:t>
      </w:r>
      <w:r w:rsidR="000228BE" w:rsidRPr="006B4E25">
        <w:t xml:space="preserve">zagotoviti uresničevanje pravice </w:t>
      </w:r>
      <w:r w:rsidRPr="006B4E25">
        <w:t xml:space="preserve">do nediskriminacije in enakosti vseh ljudi z invalidnostmi. V zvezi s tem se morajo države pogodbenice vzdržati vseh dejanj, ki pomenijo diskriminacijo ljudi z invalidnostmi. Zlasti morajo države pogodbenice spremeniti ali odpraviti obstoječe zakone, predpise, </w:t>
      </w:r>
      <w:r w:rsidRPr="006B4E25">
        <w:lastRenderedPageBreak/>
        <w:t>navade in prakse, ki pomenijo takšno diskriminacijo. V zvezi s tem je Odbor pogosto navedel primere, ki vključujejo: zakone o skrbništvu in druga pravila, ki kršij</w:t>
      </w:r>
      <w:r w:rsidR="00816A61" w:rsidRPr="006B4E25">
        <w:t>o pravico do pravne</w:t>
      </w:r>
      <w:r w:rsidR="000228BE" w:rsidRPr="006B4E25">
        <w:t xml:space="preserve"> (poslovne in drugih oblik)</w:t>
      </w:r>
      <w:r w:rsidR="00816A61" w:rsidRPr="006B4E25">
        <w:t xml:space="preserve"> sposobnosti</w:t>
      </w:r>
      <w:r w:rsidRPr="006B4E25">
        <w:rPr>
          <w:vertAlign w:val="superscript"/>
        </w:rPr>
        <w:footnoteReference w:id="7"/>
      </w:r>
      <w:r w:rsidR="00816A61" w:rsidRPr="006B4E25">
        <w:t>;</w:t>
      </w:r>
      <w:r w:rsidRPr="006B4E25">
        <w:t xml:space="preserve"> zakone o duševnem zdravju, ki legitimirajo prisilno institucional</w:t>
      </w:r>
      <w:r w:rsidR="00816A61" w:rsidRPr="006B4E25">
        <w:t>izacijo in prisilno zdravljenje</w:t>
      </w:r>
      <w:r w:rsidRPr="006B4E25">
        <w:rPr>
          <w:vertAlign w:val="superscript"/>
        </w:rPr>
        <w:footnoteReference w:id="8"/>
      </w:r>
      <w:r w:rsidR="00816A61" w:rsidRPr="006B4E25">
        <w:t>;</w:t>
      </w:r>
      <w:r w:rsidRPr="006B4E25">
        <w:t xml:space="preserve"> sterilizacijo žensk in deklic z invalidnostmi</w:t>
      </w:r>
      <w:r w:rsidR="00E45EF2" w:rsidRPr="006B4E25">
        <w:t xml:space="preserve"> brez privolitve</w:t>
      </w:r>
      <w:r w:rsidRPr="006B4E25">
        <w:t>; nedostopno stanovanjsko politiko i</w:t>
      </w:r>
      <w:r w:rsidR="00816A61" w:rsidRPr="006B4E25">
        <w:t>n politiko institucionalizacije</w:t>
      </w:r>
      <w:r w:rsidRPr="006B4E25">
        <w:rPr>
          <w:vertAlign w:val="superscript"/>
        </w:rPr>
        <w:footnoteReference w:id="9"/>
      </w:r>
      <w:r w:rsidR="00816A61" w:rsidRPr="006B4E25">
        <w:t>;</w:t>
      </w:r>
      <w:r w:rsidRPr="006B4E25">
        <w:t xml:space="preserve"> zakone in politike o ločenem</w:t>
      </w:r>
      <w:r w:rsidR="00E45EF2" w:rsidRPr="006B4E25">
        <w:t xml:space="preserve"> (</w:t>
      </w:r>
      <w:proofErr w:type="spellStart"/>
      <w:r w:rsidR="00E45EF2" w:rsidRPr="006B4E25">
        <w:t>segregiranem</w:t>
      </w:r>
      <w:proofErr w:type="spellEnd"/>
      <w:r w:rsidR="00E45EF2" w:rsidRPr="006B4E25">
        <w:t>)</w:t>
      </w:r>
      <w:r w:rsidRPr="006B4E25">
        <w:t xml:space="preserve"> izobraževan</w:t>
      </w:r>
      <w:r w:rsidR="00816A61" w:rsidRPr="006B4E25">
        <w:t>ju</w:t>
      </w:r>
      <w:r w:rsidRPr="006B4E25">
        <w:rPr>
          <w:vertAlign w:val="superscript"/>
        </w:rPr>
        <w:footnoteReference w:id="10"/>
      </w:r>
      <w:r w:rsidRPr="006B4E25">
        <w:t xml:space="preserve"> ter volilne zakone, ki odvzemajo</w:t>
      </w:r>
      <w:r w:rsidR="00816A61" w:rsidRPr="006B4E25">
        <w:t xml:space="preserve"> pravice ljudem z invalidnostmi</w:t>
      </w:r>
      <w:r w:rsidRPr="006B4E25">
        <w:rPr>
          <w:vertAlign w:val="superscript"/>
        </w:rPr>
        <w:footnoteReference w:id="11"/>
      </w:r>
      <w:r w:rsidR="00816A61" w:rsidRPr="006B4E25">
        <w:t>.</w:t>
      </w:r>
    </w:p>
    <w:p w14:paraId="07231B55" w14:textId="6E2D446F" w:rsidR="005545DB" w:rsidRPr="006B4E25" w:rsidRDefault="00584594">
      <w:pPr>
        <w:pStyle w:val="SingleTxtG"/>
        <w:numPr>
          <w:ilvl w:val="0"/>
          <w:numId w:val="4"/>
        </w:numPr>
        <w:ind w:left="1134" w:firstLine="0"/>
      </w:pPr>
      <w:r w:rsidRPr="006B4E25">
        <w:t>Učinkovito uživanje pravic v odnosu do enakosti in nediskriminacije zahteva sprejetje izvršilnih ukrepov, kot so:</w:t>
      </w:r>
    </w:p>
    <w:p w14:paraId="07231B56" w14:textId="06F1AB7D" w:rsidR="005545DB" w:rsidRPr="006B4E25" w:rsidRDefault="0063688D">
      <w:pPr>
        <w:pStyle w:val="SingleTxtG"/>
        <w:numPr>
          <w:ilvl w:val="1"/>
          <w:numId w:val="9"/>
        </w:numPr>
        <w:ind w:left="1134" w:firstLine="567"/>
      </w:pPr>
      <w:r w:rsidRPr="006B4E25">
        <w:t>u</w:t>
      </w:r>
      <w:r w:rsidR="00584594" w:rsidRPr="006B4E25">
        <w:t>krepi za ozaveščanje vseh ljudi o pravicah ljudi z invalidnostmi v skladu s Konvencijo, pomenu diskriminacije ter obstoječih pravnih sredstvih;</w:t>
      </w:r>
    </w:p>
    <w:p w14:paraId="07231B57" w14:textId="0A9A65C0" w:rsidR="005545DB" w:rsidRPr="006B4E25" w:rsidRDefault="0063688D">
      <w:pPr>
        <w:pStyle w:val="SingleTxtG"/>
        <w:numPr>
          <w:ilvl w:val="1"/>
          <w:numId w:val="9"/>
        </w:numPr>
        <w:ind w:left="1134" w:firstLine="567"/>
      </w:pPr>
      <w:r w:rsidRPr="006B4E25">
        <w:t>u</w:t>
      </w:r>
      <w:r w:rsidR="00584594" w:rsidRPr="006B4E25">
        <w:t xml:space="preserve">krepi za zagotavljanje, da so pravice, ki jih vsebuje Konvencija, </w:t>
      </w:r>
      <w:r w:rsidR="00E45EF2" w:rsidRPr="006B4E25">
        <w:t xml:space="preserve">neposredno uporabne </w:t>
      </w:r>
      <w:r w:rsidR="00584594" w:rsidRPr="006B4E25">
        <w:t>na domačih sodiščih in da zagotavljajo dostop do pravnega varstva vsem posameznikom, ki so doživeli diskriminacijo;</w:t>
      </w:r>
    </w:p>
    <w:p w14:paraId="07231B58" w14:textId="663FDAC0" w:rsidR="005545DB" w:rsidRPr="006B4E25" w:rsidRDefault="0063688D">
      <w:pPr>
        <w:pStyle w:val="SingleTxtG"/>
        <w:numPr>
          <w:ilvl w:val="1"/>
          <w:numId w:val="9"/>
        </w:numPr>
        <w:ind w:left="1134" w:firstLine="567"/>
      </w:pPr>
      <w:r w:rsidRPr="006B4E25">
        <w:t>z</w:t>
      </w:r>
      <w:r w:rsidR="00584594" w:rsidRPr="006B4E25">
        <w:t>aščita pred povračilnimi ukrepi, kot so škodljivo</w:t>
      </w:r>
      <w:r w:rsidR="00060B14" w:rsidRPr="006B4E25">
        <w:t xml:space="preserve"> </w:t>
      </w:r>
      <w:proofErr w:type="spellStart"/>
      <w:r w:rsidR="00060B14" w:rsidRPr="006B4E25">
        <w:t>neželjeno</w:t>
      </w:r>
      <w:proofErr w:type="spellEnd"/>
      <w:r w:rsidR="00584594" w:rsidRPr="006B4E25">
        <w:t xml:space="preserve"> ravnanje ali škodljive </w:t>
      </w:r>
      <w:proofErr w:type="spellStart"/>
      <w:r w:rsidR="00060B14" w:rsidRPr="006B4E25">
        <w:t>neželjene</w:t>
      </w:r>
      <w:proofErr w:type="spellEnd"/>
      <w:r w:rsidR="00060B14" w:rsidRPr="006B4E25">
        <w:t xml:space="preserve"> </w:t>
      </w:r>
      <w:r w:rsidR="00584594" w:rsidRPr="006B4E25">
        <w:t xml:space="preserve">posledice kot odziv na pritožbo ali postopke, namenjene zagotavljanju </w:t>
      </w:r>
      <w:r w:rsidR="00060B14" w:rsidRPr="006B4E25">
        <w:t>spoštovanja</w:t>
      </w:r>
      <w:r w:rsidR="00584594" w:rsidRPr="006B4E25">
        <w:t xml:space="preserve"> določb </w:t>
      </w:r>
      <w:r w:rsidR="00060B14" w:rsidRPr="006B4E25">
        <w:t xml:space="preserve"> o</w:t>
      </w:r>
      <w:r w:rsidR="00584594" w:rsidRPr="006B4E25">
        <w:t xml:space="preserve"> enakosti;</w:t>
      </w:r>
    </w:p>
    <w:p w14:paraId="07231B59" w14:textId="0ED8180B" w:rsidR="005545DB" w:rsidRPr="006B4E25" w:rsidRDefault="0063688D">
      <w:pPr>
        <w:pStyle w:val="SingleTxtG"/>
        <w:numPr>
          <w:ilvl w:val="1"/>
          <w:numId w:val="9"/>
        </w:numPr>
        <w:ind w:left="1134" w:firstLine="567"/>
      </w:pPr>
      <w:r w:rsidRPr="006B4E25">
        <w:t>z</w:t>
      </w:r>
      <w:r w:rsidR="00584594" w:rsidRPr="006B4E25">
        <w:t xml:space="preserve">akonska pravica do vložitve tožbe pred sodiščem in uveljavljanja zahtevkov prek združenj, organizacij ali drugih pravnih </w:t>
      </w:r>
      <w:r w:rsidR="00060B14" w:rsidRPr="006B4E25">
        <w:t xml:space="preserve">subjektov (v izvirniku: </w:t>
      </w:r>
      <w:proofErr w:type="spellStart"/>
      <w:r w:rsidR="00060B14" w:rsidRPr="006B4E25">
        <w:t>entities</w:t>
      </w:r>
      <w:proofErr w:type="spellEnd"/>
      <w:r w:rsidR="00060B14" w:rsidRPr="006B4E25">
        <w:t>)</w:t>
      </w:r>
      <w:r w:rsidR="00584594" w:rsidRPr="006B4E25">
        <w:t>, ki imajo legitimen interes za uresničevanje pravice do enakosti;</w:t>
      </w:r>
    </w:p>
    <w:p w14:paraId="07231B5A" w14:textId="442E7977" w:rsidR="005545DB" w:rsidRPr="006B4E25" w:rsidRDefault="0063688D">
      <w:pPr>
        <w:pStyle w:val="SingleTxtG"/>
        <w:numPr>
          <w:ilvl w:val="1"/>
          <w:numId w:val="9"/>
        </w:numPr>
        <w:ind w:left="1134" w:firstLine="567"/>
      </w:pPr>
      <w:r w:rsidRPr="006B4E25">
        <w:t>p</w:t>
      </w:r>
      <w:r w:rsidR="00584594" w:rsidRPr="006B4E25">
        <w:t>osebna pravila v zvezi z dokazi, s katerimi se zagotovi, da stereotip</w:t>
      </w:r>
      <w:r w:rsidR="009514F9" w:rsidRPr="006B4E25">
        <w:t>izira</w:t>
      </w:r>
      <w:r w:rsidR="00584594" w:rsidRPr="006B4E25">
        <w:t xml:space="preserve">na stališča o sposobnosti ljudi z invalidnostmi ne ovirajo žrtev diskriminacije pri </w:t>
      </w:r>
      <w:r w:rsidR="009514F9" w:rsidRPr="006B4E25">
        <w:t xml:space="preserve">doseganju </w:t>
      </w:r>
      <w:r w:rsidR="00584594" w:rsidRPr="006B4E25">
        <w:t>odškodnine</w:t>
      </w:r>
      <w:r w:rsidR="009514F9" w:rsidRPr="006B4E25">
        <w:t xml:space="preserve"> (in drugih oblik</w:t>
      </w:r>
      <w:r w:rsidR="00D974F5" w:rsidRPr="006B4E25">
        <w:t xml:space="preserve"> varstva</w:t>
      </w:r>
      <w:r w:rsidR="009514F9" w:rsidRPr="006B4E25">
        <w:t>)</w:t>
      </w:r>
      <w:r w:rsidR="00584594" w:rsidRPr="006B4E25">
        <w:t xml:space="preserve">; </w:t>
      </w:r>
    </w:p>
    <w:p w14:paraId="07231B5B" w14:textId="64486095" w:rsidR="005545DB" w:rsidRPr="006B4E25" w:rsidRDefault="0063688D">
      <w:pPr>
        <w:pStyle w:val="SingleTxtG"/>
        <w:numPr>
          <w:ilvl w:val="1"/>
          <w:numId w:val="9"/>
        </w:numPr>
        <w:ind w:left="1134" w:firstLine="567"/>
      </w:pPr>
      <w:r w:rsidRPr="006B4E25">
        <w:t>u</w:t>
      </w:r>
      <w:r w:rsidR="00584594" w:rsidRPr="006B4E25">
        <w:t xml:space="preserve">činkovite, sorazmerne in odvračalne sankcije za kršitev pravice do enakosti ter ustreznih pravnih sredstev; </w:t>
      </w:r>
    </w:p>
    <w:p w14:paraId="07231B5C" w14:textId="60760863" w:rsidR="005545DB" w:rsidRPr="006B4E25" w:rsidRDefault="0063688D">
      <w:pPr>
        <w:pStyle w:val="SingleTxtG"/>
        <w:numPr>
          <w:ilvl w:val="1"/>
          <w:numId w:val="9"/>
        </w:numPr>
        <w:ind w:left="1134" w:firstLine="567"/>
      </w:pPr>
      <w:r w:rsidRPr="006B4E25">
        <w:t>z</w:t>
      </w:r>
      <w:r w:rsidR="00584594" w:rsidRPr="006B4E25">
        <w:t xml:space="preserve">adostno in dostopno zagotavljanje pravne pomoči za zagotovitev dostopa do pravnega varstva tožnika v </w:t>
      </w:r>
      <w:r w:rsidR="00D974F5" w:rsidRPr="006B4E25">
        <w:t xml:space="preserve">sodnih </w:t>
      </w:r>
      <w:r w:rsidR="00584594" w:rsidRPr="006B4E25">
        <w:t xml:space="preserve">postopku </w:t>
      </w:r>
      <w:r w:rsidR="00D974F5" w:rsidRPr="006B4E25">
        <w:t>zaščite pred diskriminacijo</w:t>
      </w:r>
      <w:r w:rsidR="00584594" w:rsidRPr="006B4E25">
        <w:t>.</w:t>
      </w:r>
    </w:p>
    <w:p w14:paraId="07231B5D" w14:textId="4346C91F" w:rsidR="005545DB" w:rsidRPr="006B4E25" w:rsidRDefault="00584594">
      <w:pPr>
        <w:pStyle w:val="SingleTxtG"/>
        <w:numPr>
          <w:ilvl w:val="0"/>
          <w:numId w:val="4"/>
        </w:numPr>
        <w:ind w:left="1134" w:firstLine="0"/>
      </w:pPr>
      <w:r w:rsidRPr="006B4E25">
        <w:t xml:space="preserve">Države pogodbenice morajo opredeliti področja ali podskupine ljudi z invalidnostmi, vključno s tistimi, ki se soočajo z </w:t>
      </w:r>
      <w:proofErr w:type="spellStart"/>
      <w:r w:rsidRPr="006B4E25">
        <w:t>intersekcijsko</w:t>
      </w:r>
      <w:proofErr w:type="spellEnd"/>
      <w:r w:rsidRPr="006B4E25">
        <w:t xml:space="preserve"> ali presečno diskriminacijo, ki zahtevajo posebne ukrepe za pospešitev ali doseganje vključujoče enakosti. Države pogodbenice so dolžne sprejeti posebne ukrepe za takšne skupine. </w:t>
      </w:r>
    </w:p>
    <w:p w14:paraId="07231B5E" w14:textId="3C4DD31F" w:rsidR="005545DB" w:rsidRPr="006B4E25" w:rsidRDefault="00584594">
      <w:pPr>
        <w:pStyle w:val="SingleTxtG"/>
        <w:numPr>
          <w:ilvl w:val="0"/>
          <w:numId w:val="4"/>
        </w:numPr>
        <w:ind w:left="1134" w:firstLine="0"/>
      </w:pPr>
      <w:r w:rsidRPr="006B4E25">
        <w:t xml:space="preserve">Člena 4(3) in 33(3) Konvencije glede obveznosti držav pogodbenic glede posvetovanja poudarjata pomembno vlogo, ki jo morajo imeti organizacije ljudi z invalidnostmi pri izvajanju in spremljanju Konvencije. Države pogodbenice morajo zagotoviti, da se tesno in aktivno posvetujejo s takšnimi organizacijami, ki predstavljajo izjemno raznolikost družbe, vključno z otroki, avtističnimi osebami, osebami z genetskimi ali nevrološkimi stanji, osebami z redkimi in kroničnimi boleznimi, osebami z albinizmom, lezbijkami, geji, biseksualnimi, </w:t>
      </w:r>
      <w:proofErr w:type="spellStart"/>
      <w:r w:rsidRPr="006B4E25">
        <w:t>transspolnimi</w:t>
      </w:r>
      <w:proofErr w:type="spellEnd"/>
      <w:r w:rsidRPr="006B4E25">
        <w:t xml:space="preserve"> ali </w:t>
      </w:r>
      <w:proofErr w:type="spellStart"/>
      <w:r w:rsidRPr="006B4E25">
        <w:t>interspolnimi</w:t>
      </w:r>
      <w:proofErr w:type="spellEnd"/>
      <w:r w:rsidRPr="006B4E25">
        <w:t xml:space="preserve"> osebami, </w:t>
      </w:r>
      <w:r w:rsidR="00A0328B" w:rsidRPr="006B4E25">
        <w:t xml:space="preserve">staroselskimi </w:t>
      </w:r>
      <w:r w:rsidRPr="006B4E25">
        <w:t>ljudstvi, podeželskimi skupnostmi, starejšimi osebami</w:t>
      </w:r>
      <w:r w:rsidRPr="006B4E25">
        <w:rPr>
          <w:b/>
        </w:rPr>
        <w:t xml:space="preserve">, </w:t>
      </w:r>
      <w:r w:rsidRPr="006B4E25">
        <w:t>ženskami, žrtvami oboroženih spopadov in posamezniki, ki so pripadniki etnične manjšine ali ki imajo priseljensko ozadje. Šele takrat lahko pričakujemo, da se bomo resnično spopadli z vsemi oblikami diskriminacije, vključno z večkratno in</w:t>
      </w:r>
      <w:r w:rsidRPr="006B4E25">
        <w:rPr>
          <w:b/>
        </w:rPr>
        <w:t xml:space="preserve"> </w:t>
      </w:r>
      <w:proofErr w:type="spellStart"/>
      <w:r w:rsidRPr="006B4E25">
        <w:t>intersekcijsko</w:t>
      </w:r>
      <w:proofErr w:type="spellEnd"/>
      <w:r w:rsidRPr="006B4E25">
        <w:t xml:space="preserve"> ali presečno diskriminacijo. </w:t>
      </w:r>
    </w:p>
    <w:p w14:paraId="07231B5F" w14:textId="3A00C1FE" w:rsidR="005545DB" w:rsidRPr="006B4E25" w:rsidRDefault="00584594">
      <w:pPr>
        <w:pStyle w:val="SingleTxtG"/>
        <w:numPr>
          <w:ilvl w:val="0"/>
          <w:numId w:val="4"/>
        </w:numPr>
        <w:ind w:left="1134" w:firstLine="0"/>
      </w:pPr>
      <w:r w:rsidRPr="006B4E25">
        <w:t xml:space="preserve">Za države pogodbenice veljajo obveznosti </w:t>
      </w:r>
      <w:r w:rsidR="00A0328B" w:rsidRPr="006B4E25">
        <w:t>zagotavljati informacije</w:t>
      </w:r>
      <w:r w:rsidRPr="006B4E25">
        <w:t xml:space="preserve"> v zvezi s členom 5 Konvencije, saj morajo zbirati in analizirati ustrezne podatke in raziskovalne informacije, da bi </w:t>
      </w:r>
      <w:r w:rsidR="00A0328B" w:rsidRPr="006B4E25">
        <w:t>zaznale (</w:t>
      </w:r>
      <w:proofErr w:type="spellStart"/>
      <w:r w:rsidR="00A0328B" w:rsidRPr="006B4E25">
        <w:t>tj</w:t>
      </w:r>
      <w:proofErr w:type="spellEnd"/>
      <w:r w:rsidR="00A0328B" w:rsidRPr="006B4E25">
        <w:t xml:space="preserve"> </w:t>
      </w:r>
      <w:r w:rsidRPr="006B4E25">
        <w:t>opredelile</w:t>
      </w:r>
      <w:r w:rsidR="00A0328B" w:rsidRPr="006B4E25">
        <w:t>)</w:t>
      </w:r>
      <w:r w:rsidRPr="006B4E25">
        <w:t xml:space="preserve"> neenakosti, </w:t>
      </w:r>
      <w:proofErr w:type="spellStart"/>
      <w:r w:rsidRPr="006B4E25">
        <w:t>diskriminatorne</w:t>
      </w:r>
      <w:proofErr w:type="spellEnd"/>
      <w:r w:rsidRPr="006B4E25">
        <w:t xml:space="preserve"> prakse ter vzorce prikrajšanosti in analizirale učinkovitost ukrepov za spodbujanje enakosti. Odbor je ugotovil, da v številnih državah pogodbenicah ni na voljo dovolj posodobljenih podatkov o dis</w:t>
      </w:r>
      <w:r w:rsidR="0063688D" w:rsidRPr="006B4E25">
        <w:t xml:space="preserve">kriminaciji zaradi </w:t>
      </w:r>
      <w:r w:rsidR="0063688D" w:rsidRPr="006B4E25">
        <w:lastRenderedPageBreak/>
        <w:t>invalidnosti</w:t>
      </w:r>
      <w:r w:rsidRPr="006B4E25">
        <w:t xml:space="preserve"> in da se v primerih, ko to dopuščajo nacionalni zakoni in predpisi, pogosto </w:t>
      </w:r>
      <w:r w:rsidR="00A0328B" w:rsidRPr="006B4E25">
        <w:t xml:space="preserve">pri teh podatkih </w:t>
      </w:r>
      <w:r w:rsidRPr="006B4E25">
        <w:t xml:space="preserve">ne razlikuje glede na </w:t>
      </w:r>
      <w:r w:rsidR="00A0328B" w:rsidRPr="006B4E25">
        <w:t>okvaro</w:t>
      </w:r>
      <w:r w:rsidRPr="006B4E25">
        <w:t xml:space="preserve">, spol, spolno identiteto, etnično pripadnost, vero, starost ali druge plasti identitete. Takšni podatki in njihova analiza so izjemnega pomena za razvoj učinkovitih ukrepov za </w:t>
      </w:r>
      <w:r w:rsidR="00F0135D" w:rsidRPr="006B4E25">
        <w:t>ne</w:t>
      </w:r>
      <w:r w:rsidRPr="006B4E25">
        <w:t xml:space="preserve"> </w:t>
      </w:r>
      <w:r w:rsidR="00F0135D" w:rsidRPr="006B4E25">
        <w:t xml:space="preserve">diskriminacijo </w:t>
      </w:r>
      <w:r w:rsidRPr="006B4E25">
        <w:t>in za zagotavljanje enakosti.</w:t>
      </w:r>
    </w:p>
    <w:p w14:paraId="07231B60" w14:textId="1E48C65E" w:rsidR="005545DB" w:rsidRPr="006B4E25" w:rsidRDefault="00584594">
      <w:pPr>
        <w:pStyle w:val="SingleTxtG"/>
        <w:numPr>
          <w:ilvl w:val="0"/>
          <w:numId w:val="4"/>
        </w:numPr>
        <w:ind w:left="1134" w:firstLine="0"/>
      </w:pPr>
      <w:r w:rsidRPr="006B4E25">
        <w:t xml:space="preserve">Države pogodbenice bi morale izvesti tudi ustrezne raziskave o diskriminaciji ljudi z invalidnostmi in pravicah v zvezi z enakostjo ljudi z invalidnostmi. Raziskovalni programi morajo vključevati ljudi z invalidnostmi v raziskovalne procese že od faze določanja programa, da se zagotovi njihovo smiselno sodelovanje v raziskavah. Vključujoči in participativni raziskovalni procesi bi morali zagotoviti varen prostor za udeležence in se osredotočiti na </w:t>
      </w:r>
      <w:r w:rsidR="00F0135D" w:rsidRPr="006B4E25">
        <w:t xml:space="preserve">doživete </w:t>
      </w:r>
      <w:r w:rsidRPr="006B4E25">
        <w:t>izkušnje in potrebe ljudi z invalidnostmi.</w:t>
      </w:r>
    </w:p>
    <w:p w14:paraId="07231B61" w14:textId="77777777" w:rsidR="005545DB" w:rsidRPr="006B4E25" w:rsidRDefault="00584594">
      <w:pPr>
        <w:pStyle w:val="HChG"/>
      </w:pPr>
      <w:r w:rsidRPr="006B4E25">
        <w:tab/>
        <w:t>VII.</w:t>
      </w:r>
      <w:r w:rsidRPr="006B4E25">
        <w:tab/>
        <w:t xml:space="preserve">Povezava z drugimi posebnimi členi Konvencije </w:t>
      </w:r>
    </w:p>
    <w:p w14:paraId="07231B62" w14:textId="47DAAB14" w:rsidR="005545DB" w:rsidRPr="006B4E25" w:rsidRDefault="00584594">
      <w:pPr>
        <w:pStyle w:val="H1G"/>
      </w:pPr>
      <w:r w:rsidRPr="006B4E25">
        <w:tab/>
        <w:t>A.</w:t>
      </w:r>
      <w:r w:rsidRPr="006B4E25">
        <w:tab/>
        <w:t xml:space="preserve">Člen 6 o ženskah </w:t>
      </w:r>
      <w:r w:rsidR="00F0135D" w:rsidRPr="006B4E25">
        <w:t>z invalidnostmi</w:t>
      </w:r>
    </w:p>
    <w:p w14:paraId="07231B63" w14:textId="4F246EAA" w:rsidR="005545DB" w:rsidRPr="006B4E25" w:rsidRDefault="00584594">
      <w:pPr>
        <w:pStyle w:val="SingleTxtG"/>
        <w:numPr>
          <w:ilvl w:val="0"/>
          <w:numId w:val="4"/>
        </w:numPr>
        <w:ind w:left="1134" w:firstLine="0"/>
      </w:pPr>
      <w:r w:rsidRPr="006B4E25">
        <w:t xml:space="preserve">Ženske in dekleta z invalidnostmi sodijo med tiste skupine ljudi z invalidnostmi, ki najpogosteje doživljajo večkratno in </w:t>
      </w:r>
      <w:proofErr w:type="spellStart"/>
      <w:r w:rsidRPr="006B4E25">
        <w:t>intersekcijsko</w:t>
      </w:r>
      <w:proofErr w:type="spellEnd"/>
      <w:r w:rsidRPr="006B4E25">
        <w:t xml:space="preserve"> ali presečno diskriminacijo.</w:t>
      </w:r>
      <w:r w:rsidRPr="006B4E25">
        <w:rPr>
          <w:vertAlign w:val="superscript"/>
        </w:rPr>
        <w:footnoteReference w:id="12"/>
      </w:r>
      <w:r w:rsidRPr="006B4E25">
        <w:t xml:space="preserve"> Člen 6 je </w:t>
      </w:r>
      <w:r w:rsidR="00F0135D" w:rsidRPr="006B4E25">
        <w:t xml:space="preserve">presečen </w:t>
      </w:r>
      <w:r w:rsidRPr="006B4E25">
        <w:t>člen, ki ga je treba upoštevati v zvezi z vsemi določbami Konvencije.</w:t>
      </w:r>
      <w:r w:rsidRPr="006B4E25">
        <w:rPr>
          <w:vertAlign w:val="superscript"/>
        </w:rPr>
        <w:footnoteReference w:id="13"/>
      </w:r>
      <w:r w:rsidRPr="006B4E25">
        <w:t xml:space="preserve"> Čeprav je izraz "večkratna diskriminacija" omenjen le v členu 6, se lahko večkratna in </w:t>
      </w:r>
      <w:proofErr w:type="spellStart"/>
      <w:r w:rsidRPr="006B4E25">
        <w:t>intersekcijska</w:t>
      </w:r>
      <w:proofErr w:type="spellEnd"/>
      <w:r w:rsidRPr="006B4E25">
        <w:t xml:space="preserve"> ali presečna diskriminacija pojavita </w:t>
      </w:r>
      <w:r w:rsidR="00F0135D" w:rsidRPr="006B4E25">
        <w:t>v</w:t>
      </w:r>
      <w:r w:rsidRPr="006B4E25">
        <w:t xml:space="preserve"> </w:t>
      </w:r>
      <w:r w:rsidR="00F0135D" w:rsidRPr="006B4E25">
        <w:t xml:space="preserve">kateri </w:t>
      </w:r>
      <w:r w:rsidRPr="006B4E25">
        <w:t xml:space="preserve">koli kombinacija dveh ali več </w:t>
      </w:r>
      <w:r w:rsidR="00F0135D" w:rsidRPr="006B4E25">
        <w:t xml:space="preserve">podlag (tj. osebnih </w:t>
      </w:r>
      <w:r w:rsidRPr="006B4E25">
        <w:t>okoliščin</w:t>
      </w:r>
      <w:r w:rsidR="00F0135D" w:rsidRPr="006B4E25">
        <w:t>)</w:t>
      </w:r>
      <w:r w:rsidRPr="006B4E25">
        <w:t xml:space="preserve">. Člen 6 je zavezujoč člen o enakosti in nediskriminaciji, ki prepoveduje diskriminacijo žensk in deklic z invalidnostmi ter zavezuje države pogodbenice k spodbujanju </w:t>
      </w:r>
      <w:r w:rsidR="00364080" w:rsidRPr="006B4E25">
        <w:t xml:space="preserve">obojega: </w:t>
      </w:r>
      <w:r w:rsidRPr="006B4E25">
        <w:t xml:space="preserve">enakosti možnosti in </w:t>
      </w:r>
      <w:r w:rsidR="00364080" w:rsidRPr="006B4E25">
        <w:t xml:space="preserve">enakosti </w:t>
      </w:r>
      <w:r w:rsidRPr="006B4E25">
        <w:t xml:space="preserve">rezultatov. Poleg tega je treba člen 6, podobno kot člen 7, obravnavati kot </w:t>
      </w:r>
      <w:r w:rsidR="00364080" w:rsidRPr="006B4E25">
        <w:t xml:space="preserve">da ilustrativno </w:t>
      </w:r>
      <w:r w:rsidRPr="006B4E25">
        <w:t xml:space="preserve">določa obveznosti v zvezi z dvema pomembnima primeroma večkratne in </w:t>
      </w:r>
      <w:proofErr w:type="spellStart"/>
      <w:r w:rsidRPr="006B4E25">
        <w:t>intersekcijske</w:t>
      </w:r>
      <w:proofErr w:type="spellEnd"/>
      <w:r w:rsidRPr="006B4E25">
        <w:t xml:space="preserve"> ali presečne diskriminacije</w:t>
      </w:r>
      <w:r w:rsidR="00364080" w:rsidRPr="006B4E25">
        <w:t>, ne pa da to ureja izčrpno (tj. le za ti dve skupini)</w:t>
      </w:r>
      <w:r w:rsidRPr="006B4E25">
        <w:t>.</w:t>
      </w:r>
    </w:p>
    <w:p w14:paraId="07231B64" w14:textId="2ABF9376" w:rsidR="005545DB" w:rsidRPr="006B4E25" w:rsidRDefault="00584594">
      <w:pPr>
        <w:pStyle w:val="H1G"/>
      </w:pPr>
      <w:r w:rsidRPr="006B4E25">
        <w:tab/>
        <w:t>B.</w:t>
      </w:r>
      <w:r w:rsidRPr="006B4E25">
        <w:tab/>
        <w:t>Člen 7 o otrocih</w:t>
      </w:r>
      <w:r w:rsidR="00364080" w:rsidRPr="006B4E25">
        <w:t xml:space="preserve"> z invalidnostjo</w:t>
      </w:r>
    </w:p>
    <w:p w14:paraId="07231B65" w14:textId="21211849" w:rsidR="005545DB" w:rsidRPr="006B4E25" w:rsidRDefault="00584594">
      <w:pPr>
        <w:pStyle w:val="SingleTxtG"/>
        <w:numPr>
          <w:ilvl w:val="0"/>
          <w:numId w:val="4"/>
        </w:numPr>
        <w:ind w:left="1134" w:firstLine="0"/>
      </w:pPr>
      <w:r w:rsidRPr="006B4E25">
        <w:t>Otroci z invalidnostmi pogosto doživljajo večkratno in</w:t>
      </w:r>
      <w:r w:rsidR="00C46322">
        <w:t xml:space="preserve"> presečno (tj.</w:t>
      </w:r>
      <w:r w:rsidRPr="006B4E25">
        <w:t xml:space="preserve"> </w:t>
      </w:r>
      <w:proofErr w:type="spellStart"/>
      <w:r w:rsidRPr="006B4E25">
        <w:t>intersekcijsko</w:t>
      </w:r>
      <w:proofErr w:type="spellEnd"/>
      <w:r w:rsidR="00C46322">
        <w:t>)</w:t>
      </w:r>
      <w:r w:rsidRPr="006B4E25">
        <w:t xml:space="preserve"> diskriminacijo. Države pogodbenice morajo prepovedati vse oblike diskriminacije na podlagi invalidnosti, ki so specifične za otroke; zagotoviti učinkovita in dostopna pravna sredstva ter ozaveščati javnost in strokovnjake na področju preprečevanja in odprave diskriminacije. V mnogih državah pogodbenicah se lahko otroke na primer povsem zakonito napade pod pretvezo "discipline" ali "varnosti" (npr. fizično omejevanje). Takšno fizično kaznovanje pogosto nesorazmerno prizadene otroke </w:t>
      </w:r>
      <w:r w:rsidR="00C64F29" w:rsidRPr="006B4E25">
        <w:t>z invalidnostmi</w:t>
      </w:r>
      <w:r w:rsidRPr="006B4E25">
        <w:t>. Države pogodbenice morajo prepovedati vse oblike telesnega kaznovanja in krutega, nečloveškega ter ponižujočega ravnanja z otroki v vseh okoljih in zagotoviti sprejetje ustreznih ukrepov za uveljavitev te prepovedi.</w:t>
      </w:r>
    </w:p>
    <w:p w14:paraId="07231B66" w14:textId="6690DA43" w:rsidR="005545DB" w:rsidRPr="006B4E25" w:rsidRDefault="00584594">
      <w:pPr>
        <w:pStyle w:val="SingleTxtG"/>
        <w:numPr>
          <w:ilvl w:val="0"/>
          <w:numId w:val="4"/>
        </w:numPr>
        <w:ind w:left="1134" w:firstLine="0"/>
      </w:pPr>
      <w:r w:rsidRPr="006B4E25">
        <w:t xml:space="preserve">Načelo </w:t>
      </w:r>
      <w:r w:rsidR="00C64F29" w:rsidRPr="006B4E25">
        <w:t xml:space="preserve">najboljše </w:t>
      </w:r>
      <w:r w:rsidRPr="006B4E25">
        <w:t xml:space="preserve">koristi otroka iz člena 3 Konvencije o otrokovih pravicah je treba uporabljati za otroke </w:t>
      </w:r>
      <w:r w:rsidR="00C64F29" w:rsidRPr="006B4E25">
        <w:t>z invalidnostmi</w:t>
      </w:r>
      <w:r w:rsidRPr="006B4E25">
        <w:t xml:space="preserve"> ob skrbnem upoštevanju njihovih </w:t>
      </w:r>
      <w:r w:rsidR="00C64F29" w:rsidRPr="006B4E25">
        <w:t xml:space="preserve">življenjskih </w:t>
      </w:r>
      <w:r w:rsidRPr="006B4E25">
        <w:t>okoliščin.</w:t>
      </w:r>
      <w:r w:rsidRPr="006B4E25">
        <w:rPr>
          <w:rStyle w:val="Sprotnaopomba-sklic"/>
        </w:rPr>
        <w:footnoteReference w:id="14"/>
      </w:r>
      <w:r w:rsidRPr="006B4E25">
        <w:t xml:space="preserve"> Države pogodbenice bi morale spodbujati </w:t>
      </w:r>
      <w:r w:rsidR="00C64F29" w:rsidRPr="006B4E25">
        <w:t xml:space="preserve">vpetost (v angl. </w:t>
      </w:r>
      <w:proofErr w:type="spellStart"/>
      <w:r w:rsidR="00C64F29" w:rsidRPr="006B4E25">
        <w:t>mainstreaming</w:t>
      </w:r>
      <w:proofErr w:type="spellEnd"/>
      <w:r w:rsidR="00C64F29" w:rsidRPr="006B4E25">
        <w:t xml:space="preserve">, tj. </w:t>
      </w:r>
      <w:proofErr w:type="spellStart"/>
      <w:r w:rsidR="00C64F29" w:rsidRPr="006B4E25">
        <w:t>sistematematično</w:t>
      </w:r>
      <w:proofErr w:type="spellEnd"/>
      <w:r w:rsidR="00C64F29" w:rsidRPr="006B4E25">
        <w:t xml:space="preserve"> integracijo) </w:t>
      </w:r>
      <w:r w:rsidRPr="006B4E25">
        <w:t>invalidnosti v splošne zakone in politike na področju otroštva in adolescence</w:t>
      </w:r>
      <w:r w:rsidR="000C6CFB" w:rsidRPr="006B4E25">
        <w:t xml:space="preserve"> (tj. mladostništva)</w:t>
      </w:r>
      <w:r w:rsidRPr="006B4E25">
        <w:t xml:space="preserve">. Načela </w:t>
      </w:r>
      <w:r w:rsidR="000C6CFB" w:rsidRPr="006B4E25">
        <w:t xml:space="preserve">najboljše </w:t>
      </w:r>
      <w:r w:rsidRPr="006B4E25">
        <w:t>koristi pa ne bi smeli uporabljati za preprečevanje uresničevanja pravice otrok, zlasti deklet z invalidnostmi, do telesne integritete. Načelo je treba uporabljati</w:t>
      </w:r>
      <w:r w:rsidR="000C6CFB" w:rsidRPr="006B4E25">
        <w:t>, da se zagotovi</w:t>
      </w:r>
      <w:r w:rsidRPr="006B4E25">
        <w:t>, da so otroci z invalidnostmi obveščeni, da se z njimi posvetuje in da imajo besedo v vsakem postopku odločanja, ki je povezan z njihovim položajem. Zlasti bi morale države pogodbenice obravnavati</w:t>
      </w:r>
      <w:r w:rsidR="000C6CFB" w:rsidRPr="006B4E25">
        <w:t xml:space="preserve"> kot vprašanje diskriminacije</w:t>
      </w:r>
      <w:r w:rsidRPr="006B4E25">
        <w:t xml:space="preserve"> nasilje in institucionalizacijo otrok z invalidnostmi, ki jim je odvzeta pravica do odraščanja v njihovih družinah. Države pogodbenice bi morale izvajati strategije </w:t>
      </w:r>
      <w:proofErr w:type="spellStart"/>
      <w:r w:rsidRPr="006B4E25">
        <w:lastRenderedPageBreak/>
        <w:t>deinstitucionalizacije</w:t>
      </w:r>
      <w:proofErr w:type="spellEnd"/>
      <w:r w:rsidRPr="006B4E25">
        <w:t xml:space="preserve">, ki otrokom pomagajo živijo s svojimi družinami ali v </w:t>
      </w:r>
      <w:r w:rsidR="000E2A8E" w:rsidRPr="006B4E25">
        <w:t xml:space="preserve">nadomestni </w:t>
      </w:r>
      <w:r w:rsidRPr="006B4E25">
        <w:t xml:space="preserve">družinski oskrbi v skupnosti. Države pogodbenice bi morale sprejeti tudi podporne ukrepe, ki bi vsem otrokom z invalidnostmi omogočili uveljavljanje njihove pravice </w:t>
      </w:r>
      <w:r w:rsidR="000E2A8E" w:rsidRPr="006B4E25">
        <w:t xml:space="preserve">biti </w:t>
      </w:r>
      <w:r w:rsidRPr="006B4E25">
        <w:t>slišan</w:t>
      </w:r>
      <w:r w:rsidR="00C46322">
        <w:t xml:space="preserve"> </w:t>
      </w:r>
      <w:r w:rsidRPr="006B4E25">
        <w:t xml:space="preserve">v vseh postopkih, ki jih zadevajo, vključno v parlamentu, odborih in </w:t>
      </w:r>
      <w:r w:rsidR="000E2A8E" w:rsidRPr="006B4E25">
        <w:t xml:space="preserve">telesih </w:t>
      </w:r>
      <w:r w:rsidRPr="006B4E25">
        <w:t xml:space="preserve">političnega odločanja. </w:t>
      </w:r>
    </w:p>
    <w:p w14:paraId="07231B67" w14:textId="2475E11D" w:rsidR="005545DB" w:rsidRPr="006B4E25" w:rsidRDefault="00584594">
      <w:pPr>
        <w:pStyle w:val="H1G"/>
      </w:pPr>
      <w:r w:rsidRPr="006B4E25">
        <w:tab/>
        <w:t>C.</w:t>
      </w:r>
      <w:r w:rsidRPr="006B4E25">
        <w:tab/>
        <w:t>Člen 8 o ozaveščanju</w:t>
      </w:r>
    </w:p>
    <w:p w14:paraId="07231B68" w14:textId="4E57EE47" w:rsidR="005545DB" w:rsidRPr="006B4E25" w:rsidRDefault="00584594">
      <w:pPr>
        <w:pStyle w:val="SingleTxtG"/>
        <w:numPr>
          <w:ilvl w:val="0"/>
          <w:numId w:val="4"/>
        </w:numPr>
        <w:ind w:left="1134" w:firstLine="0"/>
      </w:pPr>
      <w:r w:rsidRPr="006B4E25">
        <w:t xml:space="preserve">Proti diskriminaciji se ni mogoče boriti brez ozaveščanja vseh vladnih in družbenih sektorjev. Zato morajo vsak ukrep za boj proti diskriminaciji in za zagotavljanje enakosti spremljati ustrezni ukrepi za ozaveščanje in ukrepi za spremembo ali odpravo </w:t>
      </w:r>
      <w:r w:rsidR="000E2A8E" w:rsidRPr="006B4E25">
        <w:t>prepletenih</w:t>
      </w:r>
      <w:r w:rsidRPr="006B4E25">
        <w:t>, slabšalnih stereotipov o invalidnosti ter negativnih stališč. Poleg tega se je treba z nasiljem</w:t>
      </w:r>
      <w:r w:rsidRPr="006B4E25">
        <w:rPr>
          <w:b/>
        </w:rPr>
        <w:t xml:space="preserve">, </w:t>
      </w:r>
      <w:r w:rsidRPr="006B4E25">
        <w:t>škodljivimi praksami in predsodki spopadati s kampanjami za ozaveščanje. Države pogodbenice bi morale sprejeti ukrepe, s katerimi bi med drugim spodbujale medije</w:t>
      </w:r>
      <w:r w:rsidRPr="006B4E25">
        <w:rPr>
          <w:b/>
          <w:i/>
        </w:rPr>
        <w:t>,</w:t>
      </w:r>
      <w:r w:rsidRPr="006B4E25">
        <w:t xml:space="preserve"> da ljudi z invalidnostmi prikazujejo na način, ki je skladen z namenom Konvencije, in da spreminjajo škodljive poglede na ljudi z invalidnostmi, kot so tisti, ki jih prikazujejo nerealno</w:t>
      </w:r>
      <w:r w:rsidR="007504FF" w:rsidRPr="006B4E25">
        <w:t xml:space="preserve"> (</w:t>
      </w:r>
      <w:r w:rsidRPr="006B4E25">
        <w:t xml:space="preserve"> kot </w:t>
      </w:r>
      <w:r w:rsidR="007504FF" w:rsidRPr="006B4E25">
        <w:t>da</w:t>
      </w:r>
      <w:r w:rsidRPr="006B4E25">
        <w:t xml:space="preserve"> so nevarni zase in za druge,  kot </w:t>
      </w:r>
      <w:r w:rsidR="007504FF" w:rsidRPr="006B4E25">
        <w:t xml:space="preserve">trpeče) </w:t>
      </w:r>
      <w:r w:rsidRPr="006B4E25">
        <w:t>in odvisne predmete oskrbe brez avtonomije, ki predstavljajo neproduktivno gospodarsko in socialno breme za družbo.</w:t>
      </w:r>
    </w:p>
    <w:p w14:paraId="07231B69" w14:textId="47360708" w:rsidR="005545DB" w:rsidRPr="006B4E25" w:rsidRDefault="00584594">
      <w:pPr>
        <w:pStyle w:val="H1G"/>
      </w:pPr>
      <w:r w:rsidRPr="006B4E25">
        <w:tab/>
        <w:t>D.</w:t>
      </w:r>
      <w:r w:rsidRPr="006B4E25">
        <w:tab/>
        <w:t>Člen 9 o dostopnosti</w:t>
      </w:r>
    </w:p>
    <w:p w14:paraId="07231B6A" w14:textId="56076BD3" w:rsidR="005545DB" w:rsidRPr="006B4E25" w:rsidRDefault="00584594">
      <w:pPr>
        <w:pStyle w:val="SingleTxtG"/>
        <w:numPr>
          <w:ilvl w:val="0"/>
          <w:numId w:val="4"/>
        </w:numPr>
        <w:ind w:left="1134" w:firstLine="0"/>
      </w:pPr>
      <w:r w:rsidRPr="006B4E25">
        <w:t xml:space="preserve">Dostopnost je predpogoj in sredstvo za doseganje dejanske enakosti za vse ljudi z invalidnostmi. Da bi </w:t>
      </w:r>
      <w:r w:rsidR="007504FF" w:rsidRPr="006B4E25">
        <w:t xml:space="preserve">ljudje z invalidnostjo </w:t>
      </w:r>
      <w:r w:rsidRPr="006B4E25">
        <w:t xml:space="preserve">lahko učinkovito sodelovali v skupnosti, morajo države pogodbenice obravnavati dostopnost grajenega okolja, javnega prevoza ter informacijskih in komunikacijskih storitev, ki morajo biti vsem ljudem z invalidnostjo dostopne in uporabne </w:t>
      </w:r>
      <w:r w:rsidR="00EC6F5C" w:rsidRPr="006B4E25">
        <w:t>na izenačeni osnovi</w:t>
      </w:r>
      <w:r w:rsidRPr="006B4E25">
        <w:t xml:space="preserve"> kot drugim. Dostopnost v okviru komunikacijskih storitev vključuje zagotavljanje socialne in komunikacijske podpore.</w:t>
      </w:r>
    </w:p>
    <w:p w14:paraId="07231B6B" w14:textId="088026E4" w:rsidR="005545DB" w:rsidRPr="006B4E25" w:rsidRDefault="00584594">
      <w:pPr>
        <w:pStyle w:val="SingleTxtG"/>
        <w:numPr>
          <w:ilvl w:val="0"/>
          <w:numId w:val="4"/>
        </w:numPr>
        <w:ind w:left="1134" w:firstLine="0"/>
      </w:pPr>
      <w:r w:rsidRPr="006B4E25">
        <w:t xml:space="preserve">Kot je navedeno zgoraj, sta dostopnost in </w:t>
      </w:r>
      <w:r w:rsidR="006318FB">
        <w:t xml:space="preserve">razumna </w:t>
      </w:r>
      <w:r w:rsidRPr="006B4E25">
        <w:t>prilagodit</w:t>
      </w:r>
      <w:r w:rsidR="006318FB">
        <w:t xml:space="preserve">ev </w:t>
      </w:r>
      <w:r w:rsidRPr="006B4E25">
        <w:t>dva različna koncepta zakonov in pravilnikov na področju enakosti:</w:t>
      </w:r>
    </w:p>
    <w:p w14:paraId="07231B6C" w14:textId="065580B4" w:rsidR="005545DB" w:rsidRPr="006B4E25" w:rsidRDefault="006318FB">
      <w:pPr>
        <w:pStyle w:val="P68B1DB1-SingleTxtG3"/>
        <w:numPr>
          <w:ilvl w:val="0"/>
          <w:numId w:val="11"/>
        </w:numPr>
        <w:ind w:left="1134" w:firstLine="567"/>
        <w:rPr>
          <w:highlight w:val="none"/>
        </w:rPr>
      </w:pPr>
      <w:r>
        <w:rPr>
          <w:highlight w:val="none"/>
        </w:rPr>
        <w:t>d</w:t>
      </w:r>
      <w:r w:rsidR="00584594" w:rsidRPr="006B4E25">
        <w:rPr>
          <w:highlight w:val="none"/>
        </w:rPr>
        <w:t>olžnosti dostopnosti se nanašajo na skupine in jih je treba izvajati postopoma, a brezpogojno;</w:t>
      </w:r>
    </w:p>
    <w:p w14:paraId="07231B6D" w14:textId="7702F63F" w:rsidR="005545DB" w:rsidRPr="006B4E25" w:rsidRDefault="006318FB">
      <w:pPr>
        <w:pStyle w:val="SingleTxtG"/>
        <w:numPr>
          <w:ilvl w:val="0"/>
          <w:numId w:val="11"/>
        </w:numPr>
        <w:ind w:left="1134" w:firstLine="567"/>
      </w:pPr>
      <w:r>
        <w:t xml:space="preserve">razumne </w:t>
      </w:r>
      <w:r w:rsidR="00584594" w:rsidRPr="006B4E25">
        <w:t>prilagoditve pa se izvedejo na individualni ravni, veljajo takoj za vse pravice in so lahko omejene</w:t>
      </w:r>
      <w:r w:rsidR="00C46322">
        <w:t>, če so nesorazmerne</w:t>
      </w:r>
      <w:r w:rsidR="00584594" w:rsidRPr="006B4E25">
        <w:t xml:space="preserve">. </w:t>
      </w:r>
    </w:p>
    <w:p w14:paraId="07231B6E" w14:textId="4B071DFB" w:rsidR="005545DB" w:rsidRPr="006B4E25" w:rsidRDefault="00584594">
      <w:pPr>
        <w:pStyle w:val="P68B1DB1-SingleTxtG3"/>
        <w:numPr>
          <w:ilvl w:val="0"/>
          <w:numId w:val="4"/>
        </w:numPr>
        <w:ind w:left="1134" w:firstLine="0"/>
        <w:rPr>
          <w:highlight w:val="none"/>
        </w:rPr>
      </w:pPr>
      <w:r w:rsidRPr="006B4E25">
        <w:rPr>
          <w:highlight w:val="none"/>
        </w:rPr>
        <w:t xml:space="preserve">Ker </w:t>
      </w:r>
      <w:r w:rsidR="00903B0F" w:rsidRPr="006B4E25">
        <w:rPr>
          <w:highlight w:val="none"/>
        </w:rPr>
        <w:t xml:space="preserve">lahko </w:t>
      </w:r>
      <w:r w:rsidRPr="006B4E25">
        <w:rPr>
          <w:highlight w:val="none"/>
        </w:rPr>
        <w:t xml:space="preserve">postopno </w:t>
      </w:r>
      <w:r w:rsidR="00EC6F5C" w:rsidRPr="006B4E25">
        <w:rPr>
          <w:highlight w:val="none"/>
        </w:rPr>
        <w:t>dosega</w:t>
      </w:r>
      <w:r w:rsidRPr="006B4E25">
        <w:rPr>
          <w:highlight w:val="none"/>
        </w:rPr>
        <w:t xml:space="preserve">nje dostopnosti v grajenem okolju, javnih prevozih in informacijsko-komunikacijskih storitvah </w:t>
      </w:r>
      <w:r w:rsidR="00EC6F5C" w:rsidRPr="006B4E25">
        <w:rPr>
          <w:highlight w:val="none"/>
        </w:rPr>
        <w:t xml:space="preserve">še </w:t>
      </w:r>
      <w:r w:rsidRPr="006B4E25">
        <w:rPr>
          <w:highlight w:val="none"/>
        </w:rPr>
        <w:t xml:space="preserve">traja nekaj časa, se lahko kot sredstvo za zagotavljanje dostopa posamezniku v vmesnem času uporabi </w:t>
      </w:r>
      <w:r w:rsidR="006318FB">
        <w:rPr>
          <w:highlight w:val="none"/>
        </w:rPr>
        <w:t xml:space="preserve">razumna </w:t>
      </w:r>
      <w:r w:rsidRPr="006B4E25">
        <w:rPr>
          <w:highlight w:val="none"/>
        </w:rPr>
        <w:t xml:space="preserve">prilagoditev, saj je to takojšnja dolžnost. Odbor poziva države pogodbenice, naj ravnajo v skladu s </w:t>
      </w:r>
      <w:r w:rsidR="00EC6F5C" w:rsidRPr="006B4E25">
        <w:rPr>
          <w:highlight w:val="none"/>
        </w:rPr>
        <w:t>splošnim komentarjem</w:t>
      </w:r>
      <w:r w:rsidRPr="006B4E25">
        <w:rPr>
          <w:highlight w:val="none"/>
        </w:rPr>
        <w:t xml:space="preserve"> št. 2 (2014) o dostopnosti.</w:t>
      </w:r>
    </w:p>
    <w:p w14:paraId="07231B6F" w14:textId="4203F16F" w:rsidR="005545DB" w:rsidRPr="006B4E25" w:rsidRDefault="00584594">
      <w:pPr>
        <w:pStyle w:val="H1G"/>
      </w:pPr>
      <w:r w:rsidRPr="006B4E25">
        <w:tab/>
        <w:t>E.</w:t>
      </w:r>
      <w:r w:rsidRPr="006B4E25">
        <w:tab/>
        <w:t>Člen 11 o nevarnih razmerah in humanitarnih krizah</w:t>
      </w:r>
    </w:p>
    <w:p w14:paraId="07231B70" w14:textId="289D7D9C" w:rsidR="005545DB" w:rsidRPr="006B4E25" w:rsidRDefault="00584594">
      <w:pPr>
        <w:pStyle w:val="SingleTxtG"/>
        <w:numPr>
          <w:ilvl w:val="0"/>
          <w:numId w:val="4"/>
        </w:numPr>
        <w:ind w:left="1134" w:firstLine="0"/>
      </w:pPr>
      <w:r w:rsidRPr="006B4E25">
        <w:t xml:space="preserve">V nevarnih razmerah in humanitarnih krizah je treba zagotoviti nediskriminacijo, ki temelji tudi na obveznostih iz mednarodnega humanitarnega prava, vključno z zakonodajo o humanitarni razorožitvi, da se tako </w:t>
      </w:r>
      <w:r w:rsidR="00EC6F5C" w:rsidRPr="006B4E25">
        <w:t xml:space="preserve">upošteva </w:t>
      </w:r>
      <w:r w:rsidRPr="006B4E25">
        <w:t>povečano tveganje za diskriminacijo ljudi z invalidnostmi, ki je povezano s takšnimi razmerami.</w:t>
      </w:r>
    </w:p>
    <w:p w14:paraId="07231B71" w14:textId="76F14E63" w:rsidR="005545DB" w:rsidRPr="006B4E25" w:rsidRDefault="00584594">
      <w:pPr>
        <w:pStyle w:val="SingleTxtG"/>
        <w:numPr>
          <w:ilvl w:val="0"/>
          <w:numId w:val="4"/>
        </w:numPr>
        <w:ind w:left="1134" w:firstLine="0"/>
      </w:pPr>
      <w:r w:rsidRPr="006B4E25">
        <w:t>Mednarodno razseljeni ljudje z invalidnostmi in/ali begunci z invalidnostmi pogosto nimajo enakega dostopa do osnovnih potrebščin, kot so voda, sanitarije, hrana in zatočišče. Dostopni</w:t>
      </w:r>
      <w:r w:rsidR="000C42C7" w:rsidRPr="006B4E25">
        <w:t>h</w:t>
      </w:r>
      <w:r w:rsidRPr="006B4E25">
        <w:t xml:space="preserve"> higienski</w:t>
      </w:r>
      <w:r w:rsidR="000C42C7" w:rsidRPr="006B4E25">
        <w:t>h</w:t>
      </w:r>
      <w:r w:rsidRPr="006B4E25">
        <w:t xml:space="preserve"> </w:t>
      </w:r>
      <w:r w:rsidR="000C42C7" w:rsidRPr="006B4E25">
        <w:t>prostorov</w:t>
      </w:r>
      <w:r w:rsidRPr="006B4E25">
        <w:t xml:space="preserve">, kot so stranišča in prhe, na primer pogosto </w:t>
      </w:r>
      <w:r w:rsidR="000C42C7" w:rsidRPr="006B4E25">
        <w:t xml:space="preserve">ni </w:t>
      </w:r>
      <w:r w:rsidRPr="006B4E25">
        <w:t xml:space="preserve">ali pa ne zadostujejo. </w:t>
      </w:r>
    </w:p>
    <w:p w14:paraId="07231B72" w14:textId="1775851B" w:rsidR="005545DB" w:rsidRPr="006B4E25" w:rsidRDefault="00584594">
      <w:pPr>
        <w:pStyle w:val="SingleTxtG"/>
        <w:numPr>
          <w:ilvl w:val="0"/>
          <w:numId w:val="4"/>
        </w:numPr>
        <w:ind w:left="1134" w:firstLine="0"/>
      </w:pPr>
      <w:r w:rsidRPr="006B4E25">
        <w:t xml:space="preserve">Ženske in dekleta z invalidnostmi so v nevarnih razmerah in humanitarnih krizah še posebej izpostavljene povečanemu tveganju za nasilje, vključno s spolnim nasiljem, </w:t>
      </w:r>
      <w:r w:rsidRPr="006B4E25">
        <w:lastRenderedPageBreak/>
        <w:t>izkoriščanjem ali zlorabo, in manj verjetno je, da bodo imele dostop do storitev okrevanja in rehabilitacije ali dostop do pravnega varstva.</w:t>
      </w:r>
      <w:r w:rsidRPr="006B4E25">
        <w:rPr>
          <w:vertAlign w:val="superscript"/>
        </w:rPr>
        <w:footnoteReference w:id="15"/>
      </w:r>
      <w:r w:rsidRPr="006B4E25">
        <w:t xml:space="preserve"> </w:t>
      </w:r>
    </w:p>
    <w:p w14:paraId="07231B73" w14:textId="12B9A899" w:rsidR="005545DB" w:rsidRPr="006B4E25" w:rsidRDefault="00584594">
      <w:pPr>
        <w:pStyle w:val="SingleTxtG"/>
        <w:numPr>
          <w:ilvl w:val="0"/>
          <w:numId w:val="4"/>
        </w:numPr>
        <w:ind w:left="1134" w:firstLine="0"/>
      </w:pPr>
      <w:r w:rsidRPr="006B4E25">
        <w:t xml:space="preserve">Države pogodbenice so zato dolžne zagotoviti spoštovanje načela nediskriminacije v vseh programih in ukrepih. To pomeni, da je treba ljudi z invalidnostmi </w:t>
      </w:r>
      <w:r w:rsidR="000C42C7" w:rsidRPr="006B4E25">
        <w:t>na enaki osnovi</w:t>
      </w:r>
      <w:r w:rsidRPr="006B4E25">
        <w:t xml:space="preserve"> vključiti v nacionalne protokole za izredne razmere, jih v celoti prepoznati v evakuacijskih scenarijih, zagotoviti dostopne informacijske in komunikacijske telefonske številke za pomoč ter dežurne telefonske številke, zagotoviti, da se</w:t>
      </w:r>
      <w:r w:rsidR="000C42C7" w:rsidRPr="006B4E25">
        <w:t xml:space="preserve"> v humanitarnih krizah</w:t>
      </w:r>
      <w:r w:rsidRPr="006B4E25">
        <w:t xml:space="preserve"> humanitarna pomoč na dostopen in nediskriminatoren način razdeli ljudem z invalidnostmi, ter zagotoviti, da so ljudem z invalidnostmi na voljo voda, sanitarne ter higienske zmogljivosti v zasilnih zavetiščih ter v begunskih taboriščih in da so </w:t>
      </w:r>
      <w:r w:rsidR="00903B0F" w:rsidRPr="006B4E25">
        <w:t>le-</w:t>
      </w:r>
      <w:r w:rsidRPr="006B4E25">
        <w:t>te tudi dostopne. Po izrednih razmerah je dostopna rekonstrukcija</w:t>
      </w:r>
      <w:r w:rsidR="000D5A7D" w:rsidRPr="006B4E25">
        <w:t xml:space="preserve"> (tj</w:t>
      </w:r>
      <w:r w:rsidR="00C46322">
        <w:t>.</w:t>
      </w:r>
      <w:r w:rsidR="000D5A7D" w:rsidRPr="006B4E25">
        <w:t xml:space="preserve"> obnova)</w:t>
      </w:r>
      <w:r w:rsidRPr="006B4E25">
        <w:t xml:space="preserve">odločilna za enakost ljudi z invalidnostmi v družbi. Države pogodbenice morajo za zagotovitev teh elementov prek </w:t>
      </w:r>
      <w:r w:rsidR="000D5A7D" w:rsidRPr="006B4E25">
        <w:t xml:space="preserve">njihovih </w:t>
      </w:r>
      <w:r w:rsidRPr="006B4E25">
        <w:t xml:space="preserve">reprezentativnih organizacij tesno sodelovati z ljudmi z invalidnostmi pri oblikovanju in izvajanju ter spremljanju in ocenjevanju zakonodaje in politik, povezanih z vsemi </w:t>
      </w:r>
      <w:r w:rsidR="00C46322">
        <w:t>fazami kriz</w:t>
      </w:r>
      <w:r w:rsidRPr="006B4E25">
        <w:t xml:space="preserve">. </w:t>
      </w:r>
    </w:p>
    <w:p w14:paraId="07231B74" w14:textId="44938163" w:rsidR="005545DB" w:rsidRPr="006B4E25" w:rsidRDefault="00584594">
      <w:pPr>
        <w:pStyle w:val="H1G"/>
      </w:pPr>
      <w:r w:rsidRPr="006B4E25">
        <w:tab/>
        <w:t>F.</w:t>
      </w:r>
      <w:r w:rsidRPr="006B4E25">
        <w:tab/>
        <w:t xml:space="preserve">Člen 12 o </w:t>
      </w:r>
      <w:r w:rsidR="00F75806" w:rsidRPr="006B4E25">
        <w:t xml:space="preserve">enakem priznanju </w:t>
      </w:r>
      <w:r w:rsidRPr="006B4E25">
        <w:t>pred zakonom</w:t>
      </w:r>
    </w:p>
    <w:p w14:paraId="07231B75" w14:textId="6D4EC05B" w:rsidR="005545DB" w:rsidRPr="006B4E25" w:rsidRDefault="00584594">
      <w:pPr>
        <w:pStyle w:val="SingleTxtG"/>
        <w:numPr>
          <w:ilvl w:val="0"/>
          <w:numId w:val="4"/>
        </w:numPr>
        <w:ind w:left="1134" w:firstLine="0"/>
      </w:pPr>
      <w:r w:rsidRPr="006B4E25">
        <w:t xml:space="preserve">Pravica do pravne </w:t>
      </w:r>
      <w:r w:rsidR="000D5A7D" w:rsidRPr="006B4E25">
        <w:t>(in v nje</w:t>
      </w:r>
      <w:r w:rsidR="002C697A" w:rsidRPr="006B4E25">
        <w:t>ne</w:t>
      </w:r>
      <w:r w:rsidR="000D5A7D" w:rsidRPr="006B4E25">
        <w:t xml:space="preserve">m okviru poslovne in drugih oblik) </w:t>
      </w:r>
      <w:r w:rsidRPr="006B4E25">
        <w:t xml:space="preserve">sposobnosti je temeljna pravica, ki je potrebna za uživanje praktično vseh drugih pravic iz Konvencije, vključno s pravico do enakosti in nediskriminacije. Člena 5 in 12 sta v osnovi povezana med seboj, saj mora enakost pred zakonom vključevati tudi predpostavko, da vsi ljudje z invalidnostmi uživajo pravno </w:t>
      </w:r>
      <w:r w:rsidR="002C697A" w:rsidRPr="006B4E25">
        <w:t>(</w:t>
      </w:r>
      <w:bookmarkStart w:id="0" w:name="_Hlk188524322"/>
      <w:r w:rsidR="002C697A" w:rsidRPr="006B4E25">
        <w:t>poslovno in druge oblike</w:t>
      </w:r>
      <w:bookmarkEnd w:id="0"/>
      <w:r w:rsidR="002C697A" w:rsidRPr="006B4E25">
        <w:t xml:space="preserve">) </w:t>
      </w:r>
      <w:r w:rsidRPr="006B4E25">
        <w:t xml:space="preserve">sposobnost </w:t>
      </w:r>
      <w:r w:rsidR="002C697A" w:rsidRPr="006B4E25">
        <w:t>na izenačeni osnovi</w:t>
      </w:r>
      <w:r w:rsidRPr="006B4E25">
        <w:t xml:space="preserve"> kot drugi. Diskriminacija zaradi zavrnitve pravne </w:t>
      </w:r>
      <w:r w:rsidR="002C697A" w:rsidRPr="006B4E25">
        <w:t xml:space="preserve">(poslovne in drugih) </w:t>
      </w:r>
      <w:r w:rsidRPr="006B4E25">
        <w:t>sposobnosti se lahko izraža na različne načine, vključno s sistemi, ki temeljijo na statusu, funkcionalnimi sistemi in sistemi, ki temeljijo na rezultatih. Zanikanje odločan</w:t>
      </w:r>
      <w:r w:rsidR="005B469C" w:rsidRPr="006B4E25">
        <w:t>ja na podlagi invalidnosti prek</w:t>
      </w:r>
      <w:r w:rsidRPr="006B4E25">
        <w:t xml:space="preserve"> katerega koli od teh sistemov je diskriminatorno. </w:t>
      </w:r>
    </w:p>
    <w:p w14:paraId="07231B76" w14:textId="299D0B7E" w:rsidR="005545DB" w:rsidRPr="006B4E25" w:rsidRDefault="00584594">
      <w:pPr>
        <w:pStyle w:val="SingleTxtG"/>
        <w:numPr>
          <w:ilvl w:val="0"/>
          <w:numId w:val="4"/>
        </w:numPr>
        <w:ind w:left="1134" w:firstLine="0"/>
      </w:pPr>
      <w:r w:rsidRPr="006B4E25">
        <w:t>Ključna razlika med obveznostjo</w:t>
      </w:r>
      <w:r w:rsidR="006318FB">
        <w:t xml:space="preserve"> razumne</w:t>
      </w:r>
      <w:r w:rsidRPr="006B4E25">
        <w:t xml:space="preserve"> prilagoditve iz člena 5 Konvencije in podporo, ki jo je treba zagotoviti ljudem z invalidnostjo, ki uveljavljajo svojo pravno </w:t>
      </w:r>
      <w:r w:rsidR="00C64FC7" w:rsidRPr="006B4E25">
        <w:t xml:space="preserve">(poslovno in druge oblike) </w:t>
      </w:r>
      <w:r w:rsidRPr="006B4E25">
        <w:t xml:space="preserve">sposobnost iz člena 12(3), je, da obveznost iz člena 12(3) ni omejena. Dejstvo, da lahko podpora za izvajanje </w:t>
      </w:r>
      <w:r w:rsidR="00C64FC7" w:rsidRPr="006B4E25">
        <w:t xml:space="preserve">te sposobnosti </w:t>
      </w:r>
      <w:r w:rsidRPr="006B4E25">
        <w:t xml:space="preserve">nalaga nesorazmerno ali nepotrebno breme, ne omejuje zahteve </w:t>
      </w:r>
      <w:r w:rsidR="00C64FC7" w:rsidRPr="006B4E25">
        <w:t xml:space="preserve">da se taka podpora </w:t>
      </w:r>
      <w:r w:rsidRPr="006B4E25">
        <w:t>zagot</w:t>
      </w:r>
      <w:r w:rsidR="00C64FC7" w:rsidRPr="006B4E25">
        <w:t>ovi</w:t>
      </w:r>
      <w:r w:rsidRPr="006B4E25">
        <w:t xml:space="preserve">. </w:t>
      </w:r>
    </w:p>
    <w:p w14:paraId="07231B77" w14:textId="6B804815" w:rsidR="005545DB" w:rsidRPr="006B4E25" w:rsidRDefault="00584594">
      <w:pPr>
        <w:pStyle w:val="SingleTxtG"/>
        <w:numPr>
          <w:ilvl w:val="0"/>
          <w:numId w:val="4"/>
        </w:numPr>
        <w:ind w:left="1134" w:firstLine="0"/>
      </w:pPr>
      <w:r w:rsidRPr="006B4E25">
        <w:t>Države pogodbenice morajo za zagotovitev skladnosti med členoma 5 in 12 Konvencije:</w:t>
      </w:r>
    </w:p>
    <w:p w14:paraId="07231B78" w14:textId="0E2CAE57" w:rsidR="005545DB" w:rsidRPr="006B4E25" w:rsidRDefault="005B469C">
      <w:pPr>
        <w:pStyle w:val="SingleTxtG"/>
        <w:numPr>
          <w:ilvl w:val="0"/>
          <w:numId w:val="12"/>
        </w:numPr>
        <w:ind w:left="1134" w:firstLine="567"/>
      </w:pPr>
      <w:r w:rsidRPr="006B4E25">
        <w:t>p</w:t>
      </w:r>
      <w:r w:rsidR="00584594" w:rsidRPr="006B4E25">
        <w:t xml:space="preserve">renoviti obstoječo zakonodajo </w:t>
      </w:r>
      <w:r w:rsidR="00EB79C1" w:rsidRPr="006B4E25">
        <w:t xml:space="preserve">da se </w:t>
      </w:r>
      <w:r w:rsidR="00584594" w:rsidRPr="006B4E25">
        <w:t xml:space="preserve">prepove </w:t>
      </w:r>
      <w:r w:rsidR="00EB79C1" w:rsidRPr="006B4E25">
        <w:t xml:space="preserve">diskriminatorno </w:t>
      </w:r>
      <w:r w:rsidR="00584594" w:rsidRPr="006B4E25">
        <w:t>zavračanja pravne</w:t>
      </w:r>
      <w:r w:rsidR="00C64FC7" w:rsidRPr="006B4E25">
        <w:t xml:space="preserve"> (poslovne in drugih oblik)</w:t>
      </w:r>
      <w:r w:rsidR="00584594" w:rsidRPr="006B4E25">
        <w:t xml:space="preserve"> sposobnosti,</w:t>
      </w:r>
      <w:r w:rsidR="00EB79C1" w:rsidRPr="006B4E25">
        <w:t xml:space="preserve"> ki bi </w:t>
      </w:r>
      <w:r w:rsidR="006318FB">
        <w:t xml:space="preserve">bili </w:t>
      </w:r>
      <w:r w:rsidR="00EB79C1" w:rsidRPr="006B4E25">
        <w:t>zasnovani</w:t>
      </w:r>
      <w:r w:rsidR="006318FB">
        <w:t xml:space="preserve"> na </w:t>
      </w:r>
      <w:r w:rsidR="00584594" w:rsidRPr="006B4E25">
        <w:t>modelih</w:t>
      </w:r>
      <w:r w:rsidR="00EB79C1" w:rsidRPr="006B4E25">
        <w:t xml:space="preserve"> priznavanja</w:t>
      </w:r>
      <w:r w:rsidR="00F41B9A" w:rsidRPr="006B4E25">
        <w:t xml:space="preserve"> sposobnosti na podlagi</w:t>
      </w:r>
      <w:r w:rsidR="00584594" w:rsidRPr="006B4E25">
        <w:t xml:space="preserve"> </w:t>
      </w:r>
      <w:r w:rsidR="00F41B9A" w:rsidRPr="006B4E25">
        <w:t>statusa</w:t>
      </w:r>
      <w:r w:rsidR="00584594" w:rsidRPr="006B4E25">
        <w:t xml:space="preserve">, </w:t>
      </w:r>
      <w:r w:rsidR="00F41B9A" w:rsidRPr="006B4E25">
        <w:t>funkcionaln</w:t>
      </w:r>
      <w:r w:rsidR="006318FB">
        <w:t>o</w:t>
      </w:r>
      <w:r w:rsidR="00F41B9A" w:rsidRPr="006B4E25">
        <w:t>sti</w:t>
      </w:r>
      <w:r w:rsidR="00584594" w:rsidRPr="006B4E25">
        <w:t xml:space="preserve"> ali na rezultatih. Po potrebi </w:t>
      </w:r>
      <w:r w:rsidRPr="006B4E25">
        <w:t xml:space="preserve">morajo </w:t>
      </w:r>
      <w:r w:rsidR="00584594" w:rsidRPr="006B4E25">
        <w:t>nadomestiti navedene modele z modeli podprtega odločanja, pri čemer morajo upoštevati splošno pravno</w:t>
      </w:r>
      <w:r w:rsidR="00F41B9A" w:rsidRPr="006B4E25">
        <w:t xml:space="preserve"> (poslovno in drugo)</w:t>
      </w:r>
      <w:r w:rsidR="00584594" w:rsidRPr="006B4E25">
        <w:t xml:space="preserve"> sposobnost odraslih brez kakršne koli oblike diskriminacije; </w:t>
      </w:r>
    </w:p>
    <w:p w14:paraId="07231B79" w14:textId="549CEF51" w:rsidR="005545DB" w:rsidRPr="006B4E25" w:rsidRDefault="005B469C">
      <w:pPr>
        <w:pStyle w:val="SingleTxtG"/>
        <w:numPr>
          <w:ilvl w:val="0"/>
          <w:numId w:val="12"/>
        </w:numPr>
        <w:ind w:left="1134" w:firstLine="567"/>
      </w:pPr>
      <w:r w:rsidRPr="006B4E25">
        <w:t>z</w:t>
      </w:r>
      <w:r w:rsidR="00584594" w:rsidRPr="006B4E25">
        <w:t>agotoviti vire za sisteme podprtega odločanja, ki bodo ljudem z invalidnostmi v pomoč pri</w:t>
      </w:r>
      <w:r w:rsidR="00F41B9A" w:rsidRPr="006B4E25">
        <w:t xml:space="preserve"> </w:t>
      </w:r>
      <w:r w:rsidR="00584594" w:rsidRPr="006B4E25">
        <w:t>krmarjenju</w:t>
      </w:r>
      <w:r w:rsidR="00F41B9A" w:rsidRPr="006B4E25">
        <w:t xml:space="preserve"> (</w:t>
      </w:r>
      <w:proofErr w:type="spellStart"/>
      <w:r w:rsidR="00F41B9A" w:rsidRPr="006B4E25">
        <w:t>tj</w:t>
      </w:r>
      <w:proofErr w:type="spellEnd"/>
      <w:r w:rsidR="00F41B9A" w:rsidRPr="006B4E25">
        <w:t xml:space="preserve"> tem, da se znajdejo)</w:t>
      </w:r>
      <w:r w:rsidR="00584594" w:rsidRPr="006B4E25">
        <w:t xml:space="preserve"> po obstoječih pravnih sistemih. Vzpostavljanje zakonodaje in zagotavljanje takšnih storitev se morata izvajati v skladu s ključnimi določbami, opredeljenimi v odstavku 29 Splošne</w:t>
      </w:r>
      <w:r w:rsidR="00F41B9A" w:rsidRPr="006B4E25">
        <w:t>ga komentarja</w:t>
      </w:r>
      <w:r w:rsidR="00584594" w:rsidRPr="006B4E25">
        <w:t xml:space="preserve"> št. 1 (2014) </w:t>
      </w:r>
      <w:r w:rsidR="00584594" w:rsidRPr="006B4E25">
        <w:rPr>
          <w:rFonts w:eastAsia="Malgun Gothic"/>
        </w:rPr>
        <w:t xml:space="preserve">o </w:t>
      </w:r>
      <w:r w:rsidR="00F75806" w:rsidRPr="006B4E25">
        <w:rPr>
          <w:rFonts w:eastAsia="Malgun Gothic"/>
        </w:rPr>
        <w:t xml:space="preserve">enakem priznanju </w:t>
      </w:r>
      <w:r w:rsidR="00584594" w:rsidRPr="006B4E25">
        <w:rPr>
          <w:rFonts w:eastAsia="Malgun Gothic"/>
        </w:rPr>
        <w:t>pred zakonom</w:t>
      </w:r>
      <w:r w:rsidR="00584594" w:rsidRPr="006B4E25">
        <w:t xml:space="preserve">. To vključuje tudi </w:t>
      </w:r>
      <w:r w:rsidR="00C25550" w:rsidRPr="006B4E25">
        <w:t xml:space="preserve">osnovanje </w:t>
      </w:r>
      <w:r w:rsidR="00584594" w:rsidRPr="006B4E25">
        <w:t xml:space="preserve">vseh podpornih sistemov na uveljavljanju pravic, volje in preferenc tistih, ki prejemajo podporo, in ne na tem, kar se dojema kot v njihovem najboljšem interesu. </w:t>
      </w:r>
      <w:r w:rsidR="00C25550" w:rsidRPr="006B4E25">
        <w:t>Najboljše razbiranje (</w:t>
      </w:r>
      <w:r w:rsidR="0075189E" w:rsidRPr="006B4E25">
        <w:t xml:space="preserve">tj. </w:t>
      </w:r>
      <w:r w:rsidR="00584594" w:rsidRPr="006B4E25">
        <w:t>razlaga</w:t>
      </w:r>
      <w:r w:rsidR="0075189E" w:rsidRPr="006B4E25">
        <w:t xml:space="preserve"> domnevne</w:t>
      </w:r>
      <w:r w:rsidR="00C25550" w:rsidRPr="006B4E25">
        <w:t>)</w:t>
      </w:r>
      <w:r w:rsidR="00584594" w:rsidRPr="006B4E25">
        <w:t xml:space="preserve">volje in preferenc bi morala nadomestiti </w:t>
      </w:r>
      <w:r w:rsidR="00C25550" w:rsidRPr="006B4E25">
        <w:t xml:space="preserve">dosedanji </w:t>
      </w:r>
      <w:r w:rsidR="00584594" w:rsidRPr="006B4E25">
        <w:t xml:space="preserve">koncept najboljšega interesa v vseh zadevah, povezanih z odraslimi, kjer </w:t>
      </w:r>
      <w:r w:rsidR="00C25550" w:rsidRPr="006B4E25">
        <w:t xml:space="preserve">ugotavljanje </w:t>
      </w:r>
      <w:r w:rsidR="00584594" w:rsidRPr="006B4E25">
        <w:t xml:space="preserve"> </w:t>
      </w:r>
      <w:r w:rsidR="0075189E" w:rsidRPr="006B4E25">
        <w:t xml:space="preserve">konkretne </w:t>
      </w:r>
      <w:r w:rsidR="00584594" w:rsidRPr="006B4E25">
        <w:t xml:space="preserve">volje in preferenc </w:t>
      </w:r>
      <w:r w:rsidR="00C25550" w:rsidRPr="006B4E25">
        <w:t xml:space="preserve">posamezne osebe praktično </w:t>
      </w:r>
      <w:r w:rsidR="00584594" w:rsidRPr="006B4E25">
        <w:t xml:space="preserve">ni izvedljivo; </w:t>
      </w:r>
    </w:p>
    <w:p w14:paraId="07231B7A" w14:textId="5E81191D" w:rsidR="005545DB" w:rsidRPr="006B4E25" w:rsidRDefault="005B469C">
      <w:pPr>
        <w:pStyle w:val="SingleTxtG"/>
        <w:numPr>
          <w:ilvl w:val="0"/>
          <w:numId w:val="12"/>
        </w:numPr>
        <w:ind w:left="1134" w:firstLine="567"/>
      </w:pPr>
      <w:r w:rsidRPr="006B4E25">
        <w:t>d</w:t>
      </w:r>
      <w:r w:rsidR="00584594" w:rsidRPr="006B4E25">
        <w:t>ržave pogodbenice bi morale zagotoviti varstvo pred diskriminacijo z vzpostavitvijo dostopne, lokalno razpoložljive mreže kakovostnega brezplačnega pravnega svetovanja ali pravne pomoči</w:t>
      </w:r>
      <w:r w:rsidR="0075189E" w:rsidRPr="006B4E25">
        <w:t xml:space="preserve"> z nizkim vstopnim pragom</w:t>
      </w:r>
      <w:r w:rsidR="00584594" w:rsidRPr="006B4E25">
        <w:t xml:space="preserve">, ki mora spoštovati voljo in želje teh posameznikov ter varovati njihove procesne pravice (pravico do pravne </w:t>
      </w:r>
      <w:r w:rsidR="0075189E" w:rsidRPr="006B4E25">
        <w:t xml:space="preserve">poslovne in </w:t>
      </w:r>
      <w:r w:rsidR="0075189E" w:rsidRPr="006B4E25">
        <w:lastRenderedPageBreak/>
        <w:t xml:space="preserve">drugih oblik </w:t>
      </w:r>
      <w:r w:rsidR="00584594" w:rsidRPr="006B4E25">
        <w:t xml:space="preserve">sposobnosti) </w:t>
      </w:r>
      <w:r w:rsidR="0075189E" w:rsidRPr="006B4E25">
        <w:t xml:space="preserve">in biti </w:t>
      </w:r>
      <w:r w:rsidR="00584594" w:rsidRPr="006B4E25">
        <w:t>na enaki ravni kot pri drugih vrstah pravnega zastopanja. Države pogodbenice morajo dosledno zagotavljati, da instrumenti za zaščito ne temeljijo na odvzemu pravne</w:t>
      </w:r>
      <w:r w:rsidR="0075189E" w:rsidRPr="006B4E25">
        <w:t xml:space="preserve"> (poslovne in drugih vrst)</w:t>
      </w:r>
      <w:r w:rsidR="00584594" w:rsidRPr="006B4E25">
        <w:t xml:space="preserve"> sposobnosti ali kako drugače ovirajo dostop ljudi z invalidnostmi do </w:t>
      </w:r>
      <w:r w:rsidR="0075189E" w:rsidRPr="006B4E25">
        <w:t xml:space="preserve">pravnega </w:t>
      </w:r>
      <w:r w:rsidR="00584594" w:rsidRPr="006B4E25">
        <w:t xml:space="preserve">varstva. </w:t>
      </w:r>
    </w:p>
    <w:p w14:paraId="07231B7B" w14:textId="000BB842" w:rsidR="005545DB" w:rsidRPr="006B4E25" w:rsidRDefault="00584594">
      <w:pPr>
        <w:pStyle w:val="SingleTxtG"/>
        <w:numPr>
          <w:ilvl w:val="0"/>
          <w:numId w:val="4"/>
        </w:numPr>
        <w:ind w:left="1134" w:firstLine="0"/>
      </w:pPr>
      <w:r w:rsidRPr="006B4E25">
        <w:t xml:space="preserve">Zagotoviti bi bilo treba usposabljanje in izobraževanje za ustrezne agencije, kot so nosilci pravnih odločitev, ponudniki storitev ali drugi deležniki. Države pogodbenice so dolžne zagotoviti enako uživanje vseh dobrin in storitev, </w:t>
      </w:r>
      <w:r w:rsidR="0067789F" w:rsidRPr="006B4E25">
        <w:t>ki so na voljo</w:t>
      </w:r>
      <w:r w:rsidRPr="006B4E25">
        <w:t xml:space="preserve"> v družbi, vključno z blagom in storitvami, navedenimi v členu 12(5), ki navaja primere dobrin, ki so ljudem z invalidnostjo še posebej onemogočene, kot so premoženje ali storitve, povezane s finančnimi zadevami, npr. hipoteke. Člen 25(e) omenja še eno storitev, ki običajno ni na voljo ljudem z invalidnostjo, tj. storitev življenjskega zavarovanja in (zasebnega) zdravstvenega zavarovanja. Države pogodbenice bi morale sprejeti aktiven, celovit pristop za zagotovitev enakega uživanja blaga in storitev v zasebnem sektorju. To vključuje tudi krepitev </w:t>
      </w:r>
      <w:proofErr w:type="spellStart"/>
      <w:r w:rsidR="00312727" w:rsidRPr="006B4E25">
        <w:t>protidiskriminacijske</w:t>
      </w:r>
      <w:proofErr w:type="spellEnd"/>
      <w:r w:rsidR="00312727" w:rsidRPr="006B4E25">
        <w:t xml:space="preserve"> </w:t>
      </w:r>
      <w:r w:rsidRPr="006B4E25">
        <w:t xml:space="preserve">zakonodaje, </w:t>
      </w:r>
      <w:r w:rsidR="00312727" w:rsidRPr="006B4E25">
        <w:t xml:space="preserve">v delu kjer </w:t>
      </w:r>
      <w:r w:rsidRPr="006B4E25">
        <w:t xml:space="preserve">velja za zasebni sektor. Sodelovanje s sindikati in drugimi akterji bi bilo treba izkoristiti za iskanje partnerjev, ki so pripravljeni poskrbeti za spremembe. </w:t>
      </w:r>
    </w:p>
    <w:p w14:paraId="07231B7C" w14:textId="4E309AF5" w:rsidR="005545DB" w:rsidRPr="006B4E25" w:rsidRDefault="00584594">
      <w:pPr>
        <w:pStyle w:val="H1G"/>
      </w:pPr>
      <w:r w:rsidRPr="006B4E25">
        <w:tab/>
        <w:t>G.</w:t>
      </w:r>
      <w:r w:rsidRPr="006B4E25">
        <w:tab/>
        <w:t xml:space="preserve">Člen 13 o dostopu do </w:t>
      </w:r>
      <w:r w:rsidR="00312727" w:rsidRPr="006B4E25">
        <w:t>pravosodja</w:t>
      </w:r>
    </w:p>
    <w:p w14:paraId="07231B7D" w14:textId="3F6FDFBD" w:rsidR="005545DB" w:rsidRPr="006B4E25" w:rsidRDefault="00584594">
      <w:pPr>
        <w:pStyle w:val="SingleTxtG"/>
        <w:numPr>
          <w:ilvl w:val="0"/>
          <w:numId w:val="4"/>
        </w:numPr>
        <w:ind w:left="1134" w:firstLine="0"/>
      </w:pPr>
      <w:r w:rsidRPr="006B4E25">
        <w:t xml:space="preserve">Pravice in obveznosti, povezane z enakostjo in nediskriminacijo, ki so opisane v členu 5, vzbujajo posebne </w:t>
      </w:r>
      <w:r w:rsidR="00312727" w:rsidRPr="006B4E25">
        <w:t xml:space="preserve">razmisleke </w:t>
      </w:r>
      <w:r w:rsidRPr="006B4E25">
        <w:t xml:space="preserve">v zvezi s členom 13, ki med drugim zahteva zagotovitev postopkovnih in starosti </w:t>
      </w:r>
      <w:r w:rsidR="006318FB">
        <w:t xml:space="preserve">razumnih </w:t>
      </w:r>
      <w:r w:rsidRPr="006B4E25">
        <w:t xml:space="preserve">prilagoditev. Te prilagoditve se razlikujejo od </w:t>
      </w:r>
      <w:r w:rsidR="006318FB">
        <w:t xml:space="preserve">razumnih </w:t>
      </w:r>
      <w:r w:rsidRPr="006B4E25">
        <w:t xml:space="preserve">prilagoditev v tem, da postopkovne prilagoditve niso omejene z nesorazmernostjo. Ponazoritev postopkovne prilagoditve je prepoznavanje različnih metod komunikacije za ljudi z invalidnostmi </w:t>
      </w:r>
      <w:r w:rsidR="00312727" w:rsidRPr="006B4E25">
        <w:t>pred sodišči in drugimi tribunali</w:t>
      </w:r>
      <w:r w:rsidRPr="006B4E25">
        <w:t xml:space="preserve">. Starosti </w:t>
      </w:r>
      <w:r w:rsidR="006318FB">
        <w:t xml:space="preserve">primerne </w:t>
      </w:r>
      <w:r w:rsidRPr="006B4E25">
        <w:t xml:space="preserve">prilagoditve lahko vključujejo razširjanje informacij o razpoložljivih mehanizmih za vložitev pritožb in dostop do pravnega varstva z uporabo starosti primernega in preprostega jezika. </w:t>
      </w:r>
    </w:p>
    <w:p w14:paraId="6B05C115" w14:textId="6CE177C1" w:rsidR="005545DB" w:rsidRPr="006B4E25" w:rsidRDefault="00584594">
      <w:pPr>
        <w:pStyle w:val="H23G"/>
        <w:rPr>
          <w:i/>
        </w:rPr>
      </w:pPr>
      <w:r w:rsidRPr="006B4E25">
        <w:tab/>
        <w:t xml:space="preserve">1. </w:t>
      </w:r>
      <w:r w:rsidRPr="006B4E25">
        <w:tab/>
        <w:t>Člen 13(1)</w:t>
      </w:r>
    </w:p>
    <w:p w14:paraId="07231B80" w14:textId="7785B92B" w:rsidR="005545DB" w:rsidRPr="006B4E25" w:rsidRDefault="00584594">
      <w:pPr>
        <w:pStyle w:val="SingleTxtG"/>
        <w:numPr>
          <w:ilvl w:val="0"/>
          <w:numId w:val="4"/>
        </w:numPr>
        <w:ind w:left="1134" w:firstLine="0"/>
      </w:pPr>
      <w:r w:rsidRPr="006B4E25">
        <w:t xml:space="preserve">Postopki morajo omogočati sodelovanje in biti pregledni, da se zagotovi učinkovit dostop do </w:t>
      </w:r>
      <w:r w:rsidR="00E84360" w:rsidRPr="006B4E25">
        <w:t xml:space="preserve">pravnega </w:t>
      </w:r>
      <w:r w:rsidRPr="006B4E25">
        <w:t>varstva. Ukrepi, ki omogočajo sodelovanje, vključujejo:</w:t>
      </w:r>
    </w:p>
    <w:p w14:paraId="07231B81" w14:textId="0F4D3775" w:rsidR="005545DB" w:rsidRPr="006B4E25" w:rsidRDefault="005B469C">
      <w:pPr>
        <w:pStyle w:val="SingleTxtG"/>
        <w:numPr>
          <w:ilvl w:val="0"/>
          <w:numId w:val="13"/>
        </w:numPr>
        <w:ind w:left="1134" w:firstLine="567"/>
      </w:pPr>
      <w:r w:rsidRPr="006B4E25">
        <w:t>p</w:t>
      </w:r>
      <w:r w:rsidR="00584594" w:rsidRPr="006B4E25">
        <w:t>osredovanje informacij na razumljiv in dostopen način;</w:t>
      </w:r>
    </w:p>
    <w:p w14:paraId="07231B82" w14:textId="4966B72B" w:rsidR="005545DB" w:rsidRPr="006B4E25" w:rsidRDefault="00E84360">
      <w:pPr>
        <w:pStyle w:val="SingleTxtG"/>
        <w:numPr>
          <w:ilvl w:val="0"/>
          <w:numId w:val="13"/>
        </w:numPr>
        <w:ind w:left="1134" w:firstLine="567"/>
      </w:pPr>
      <w:r w:rsidRPr="006B4E25">
        <w:rPr>
          <w:rFonts w:cstheme="minorHAnsi"/>
        </w:rPr>
        <w:t xml:space="preserve">priznavanje </w:t>
      </w:r>
      <w:r w:rsidR="00584594" w:rsidRPr="006B4E25">
        <w:rPr>
          <w:rFonts w:cstheme="minorHAnsi"/>
        </w:rPr>
        <w:t>in prilagajanje</w:t>
      </w:r>
      <w:r w:rsidRPr="006B4E25">
        <w:rPr>
          <w:rFonts w:cstheme="minorHAnsi"/>
        </w:rPr>
        <w:t xml:space="preserve"> za zagotavljanje</w:t>
      </w:r>
      <w:r w:rsidR="00584594" w:rsidRPr="006B4E25">
        <w:rPr>
          <w:rFonts w:cstheme="minorHAnsi"/>
        </w:rPr>
        <w:t xml:space="preserve"> različnih oblik komunikacije</w:t>
      </w:r>
      <w:r w:rsidR="00584594" w:rsidRPr="006B4E25">
        <w:t>;</w:t>
      </w:r>
    </w:p>
    <w:p w14:paraId="07231B83" w14:textId="3FDB6E74" w:rsidR="005545DB" w:rsidRPr="006B4E25" w:rsidRDefault="005B469C">
      <w:pPr>
        <w:pStyle w:val="SingleTxtG"/>
        <w:numPr>
          <w:ilvl w:val="0"/>
          <w:numId w:val="13"/>
        </w:numPr>
        <w:ind w:left="1134" w:firstLine="567"/>
      </w:pPr>
      <w:r w:rsidRPr="006B4E25">
        <w:rPr>
          <w:rFonts w:cstheme="minorHAnsi"/>
        </w:rPr>
        <w:t>f</w:t>
      </w:r>
      <w:r w:rsidR="00584594" w:rsidRPr="006B4E25">
        <w:rPr>
          <w:rFonts w:cstheme="minorHAnsi"/>
        </w:rPr>
        <w:t xml:space="preserve">izično dostopnost </w:t>
      </w:r>
      <w:r w:rsidR="00584594" w:rsidRPr="006B4E25">
        <w:t>v vseh fazah postopka;</w:t>
      </w:r>
    </w:p>
    <w:p w14:paraId="07231B84" w14:textId="3BC69233" w:rsidR="005545DB" w:rsidRPr="006B4E25" w:rsidRDefault="005B469C">
      <w:pPr>
        <w:pStyle w:val="SingleTxtG"/>
        <w:numPr>
          <w:ilvl w:val="0"/>
          <w:numId w:val="13"/>
        </w:numPr>
        <w:ind w:left="1134" w:firstLine="567"/>
      </w:pPr>
      <w:r w:rsidRPr="006B4E25">
        <w:t>f</w:t>
      </w:r>
      <w:r w:rsidR="00584594" w:rsidRPr="006B4E25">
        <w:t xml:space="preserve">inančno pomoč v primeru pravne pomoči, kjer je to primerno, </w:t>
      </w:r>
      <w:r w:rsidR="00C46322">
        <w:t xml:space="preserve">skladno s </w:t>
      </w:r>
      <w:r w:rsidRPr="006B4E25">
        <w:t>preiz</w:t>
      </w:r>
      <w:r w:rsidR="00584594" w:rsidRPr="006B4E25">
        <w:t>kus</w:t>
      </w:r>
      <w:r w:rsidR="00C46322">
        <w:t>om</w:t>
      </w:r>
      <w:r w:rsidR="00584594" w:rsidRPr="006B4E25">
        <w:t xml:space="preserve"> </w:t>
      </w:r>
      <w:r w:rsidR="00C46322">
        <w:t>meril in utemeljenosti, določenim z zakonom</w:t>
      </w:r>
    </w:p>
    <w:p w14:paraId="07231B85" w14:textId="24634EA7" w:rsidR="005545DB" w:rsidRPr="006B4E25" w:rsidRDefault="00584594">
      <w:pPr>
        <w:pStyle w:val="SingleTxtG"/>
        <w:numPr>
          <w:ilvl w:val="0"/>
          <w:numId w:val="4"/>
        </w:numPr>
        <w:ind w:left="1134" w:firstLine="0"/>
      </w:pPr>
      <w:r w:rsidRPr="006B4E25">
        <w:t xml:space="preserve">Ustrezni ukrepi, ki lahko zaščitijo posameznike, ki se sami ne morejo braniti pred diskriminacijo, tudi če jim je zagotovljena podpora, ali katerih možnosti močno omejuje njihov strah pred negativnimi posledicami takšnih poskusov, so </w:t>
      </w:r>
      <w:r w:rsidR="00855C8B" w:rsidRPr="006B4E25">
        <w:t xml:space="preserve">tožbe </w:t>
      </w:r>
      <w:r w:rsidRPr="006B4E25">
        <w:t>v javnem interesu (</w:t>
      </w:r>
      <w:proofErr w:type="spellStart"/>
      <w:r w:rsidRPr="006B4E25">
        <w:t>actio</w:t>
      </w:r>
      <w:proofErr w:type="spellEnd"/>
      <w:r w:rsidRPr="006B4E25">
        <w:t xml:space="preserve"> </w:t>
      </w:r>
      <w:proofErr w:type="spellStart"/>
      <w:r w:rsidRPr="006B4E25">
        <w:t>popularis</w:t>
      </w:r>
      <w:proofErr w:type="spellEnd"/>
      <w:r w:rsidRPr="006B4E25">
        <w:t>).</w:t>
      </w:r>
    </w:p>
    <w:p w14:paraId="07231B86" w14:textId="5FDDAB3D" w:rsidR="005545DB" w:rsidRPr="006B4E25" w:rsidRDefault="00584594">
      <w:pPr>
        <w:pStyle w:val="SingleTxtG"/>
        <w:numPr>
          <w:ilvl w:val="0"/>
          <w:numId w:val="4"/>
        </w:numPr>
        <w:ind w:left="1134" w:firstLine="0"/>
      </w:pPr>
      <w:r w:rsidRPr="006B4E25">
        <w:t xml:space="preserve">Poleg tega mora država pogodbenica za zagotovitev preglednosti s svojimi ukrepi zagotoviti, da so vse ustrezne informacije dostopne in na voljo ter da obstaja ustrezno beleženje in poročanje o vseh ustreznih zahtevkih, zadevah in sodnih </w:t>
      </w:r>
      <w:r w:rsidR="00855C8B" w:rsidRPr="006B4E25">
        <w:t>odločitvah</w:t>
      </w:r>
      <w:r w:rsidRPr="006B4E25">
        <w:t>.</w:t>
      </w:r>
    </w:p>
    <w:p w14:paraId="4EF360A8" w14:textId="12DCF172" w:rsidR="005545DB" w:rsidRPr="006B4E25" w:rsidRDefault="00584594">
      <w:pPr>
        <w:pStyle w:val="H23G"/>
        <w:rPr>
          <w:i/>
        </w:rPr>
      </w:pPr>
      <w:r w:rsidRPr="006B4E25">
        <w:tab/>
        <w:t xml:space="preserve">2. </w:t>
      </w:r>
      <w:r w:rsidRPr="006B4E25">
        <w:tab/>
        <w:t>Člen 13(2)</w:t>
      </w:r>
    </w:p>
    <w:p w14:paraId="07231B88" w14:textId="636C6602" w:rsidR="005545DB" w:rsidRPr="006B4E25" w:rsidRDefault="00584594">
      <w:pPr>
        <w:pStyle w:val="SingleTxtG"/>
        <w:numPr>
          <w:ilvl w:val="0"/>
          <w:numId w:val="4"/>
        </w:numPr>
        <w:ind w:left="1134" w:firstLine="0"/>
      </w:pPr>
      <w:r w:rsidRPr="006B4E25">
        <w:t xml:space="preserve">Da bi spodbudili ustrezno spoštovanje in izpolnjevanje pravic in obveznosti, je </w:t>
      </w:r>
      <w:r w:rsidR="005B469C" w:rsidRPr="006B4E25">
        <w:t>treba</w:t>
      </w:r>
      <w:r w:rsidRPr="006B4E25">
        <w:t xml:space="preserve"> usposobiti uslužbence organov kazenskega pregona, ozaveščati imetnike pravic ter graditi zmogljivosti nosilcev dolžnosti. Ustrezno usposabljanje naj vključuje</w:t>
      </w:r>
      <w:r w:rsidR="00855C8B" w:rsidRPr="006B4E25">
        <w:t xml:space="preserve"> razjasnitev</w:t>
      </w:r>
      <w:r w:rsidRPr="006B4E25">
        <w:t>:</w:t>
      </w:r>
    </w:p>
    <w:p w14:paraId="07231B89" w14:textId="5D902638" w:rsidR="005545DB" w:rsidRPr="006B4E25" w:rsidRDefault="005B469C">
      <w:pPr>
        <w:pStyle w:val="SingleTxtG"/>
        <w:numPr>
          <w:ilvl w:val="0"/>
          <w:numId w:val="14"/>
        </w:numPr>
        <w:ind w:left="1134" w:firstLine="567"/>
      </w:pPr>
      <w:r w:rsidRPr="006B4E25">
        <w:t>z</w:t>
      </w:r>
      <w:r w:rsidR="00584594" w:rsidRPr="006B4E25">
        <w:t xml:space="preserve">apletenosti </w:t>
      </w:r>
      <w:proofErr w:type="spellStart"/>
      <w:r w:rsidR="00584594" w:rsidRPr="006B4E25">
        <w:t>presečnosti</w:t>
      </w:r>
      <w:proofErr w:type="spellEnd"/>
      <w:r w:rsidR="00855C8B" w:rsidRPr="006B4E25">
        <w:t xml:space="preserve"> (</w:t>
      </w:r>
      <w:proofErr w:type="spellStart"/>
      <w:r w:rsidR="00855C8B" w:rsidRPr="006B4E25">
        <w:t>intersekcionalnosti</w:t>
      </w:r>
      <w:proofErr w:type="spellEnd"/>
      <w:r w:rsidR="00855C8B" w:rsidRPr="006B4E25">
        <w:t>)</w:t>
      </w:r>
      <w:r w:rsidR="00584594" w:rsidRPr="006B4E25">
        <w:t xml:space="preserve"> in dejstvo, da se posameznikov ne sme identificirati zgolj na podlagi njihove </w:t>
      </w:r>
      <w:r w:rsidR="00855C8B" w:rsidRPr="006B4E25">
        <w:t>okvare</w:t>
      </w:r>
      <w:r w:rsidR="00584594" w:rsidRPr="006B4E25">
        <w:t xml:space="preserve">. Ozaveščanje o vprašanjih </w:t>
      </w:r>
      <w:proofErr w:type="spellStart"/>
      <w:r w:rsidR="00584594" w:rsidRPr="006B4E25">
        <w:t>presečnosti</w:t>
      </w:r>
      <w:proofErr w:type="spellEnd"/>
      <w:r w:rsidR="00584594" w:rsidRPr="006B4E25">
        <w:t xml:space="preserve"> bi moralo biti pomembno za posamezne oblike diskriminacije in zatiranja;</w:t>
      </w:r>
    </w:p>
    <w:p w14:paraId="07231B8A" w14:textId="7E172728" w:rsidR="005545DB" w:rsidRPr="006B4E25" w:rsidRDefault="005B469C">
      <w:pPr>
        <w:pStyle w:val="SingleTxtG"/>
        <w:numPr>
          <w:ilvl w:val="0"/>
          <w:numId w:val="14"/>
        </w:numPr>
        <w:ind w:left="1134" w:firstLine="567"/>
      </w:pPr>
      <w:r w:rsidRPr="006B4E25">
        <w:lastRenderedPageBreak/>
        <w:t>r</w:t>
      </w:r>
      <w:r w:rsidR="00584594" w:rsidRPr="006B4E25">
        <w:t xml:space="preserve">aznolikost med ljudmi z invalidnostmi in njihovimi individualnimi zahtevami, da bi pridobili učinkovit dostop do vseh vidikov pravosodnega sistema </w:t>
      </w:r>
      <w:r w:rsidR="001B7E17" w:rsidRPr="006B4E25">
        <w:t>na izenačeni osnovi</w:t>
      </w:r>
      <w:r w:rsidR="00584594" w:rsidRPr="006B4E25">
        <w:t xml:space="preserve"> kot drugi;</w:t>
      </w:r>
    </w:p>
    <w:p w14:paraId="07231B8B" w14:textId="0A1219D9" w:rsidR="005545DB" w:rsidRPr="006B4E25" w:rsidRDefault="005B469C">
      <w:pPr>
        <w:pStyle w:val="SingleTxtG"/>
        <w:numPr>
          <w:ilvl w:val="0"/>
          <w:numId w:val="14"/>
        </w:numPr>
        <w:ind w:left="1134" w:firstLine="567"/>
      </w:pPr>
      <w:r w:rsidRPr="006B4E25">
        <w:t>i</w:t>
      </w:r>
      <w:r w:rsidR="00584594" w:rsidRPr="006B4E25">
        <w:t xml:space="preserve">ndividualno avtonomijo ljudi z invalidnostmi in pomen pravne </w:t>
      </w:r>
      <w:r w:rsidR="001B7E17" w:rsidRPr="006B4E25">
        <w:t xml:space="preserve">(poslovne in drugih oblik) </w:t>
      </w:r>
      <w:r w:rsidR="00584594" w:rsidRPr="006B4E25">
        <w:t>sposobnosti za vse;</w:t>
      </w:r>
    </w:p>
    <w:p w14:paraId="07231B8C" w14:textId="34247232" w:rsidR="005545DB" w:rsidRPr="006B4E25" w:rsidRDefault="005B469C">
      <w:pPr>
        <w:pStyle w:val="SingleTxtG"/>
        <w:numPr>
          <w:ilvl w:val="0"/>
          <w:numId w:val="14"/>
        </w:numPr>
        <w:ind w:left="1134" w:firstLine="567"/>
      </w:pPr>
      <w:r w:rsidRPr="006B4E25">
        <w:t>o</w:t>
      </w:r>
      <w:r w:rsidR="00584594" w:rsidRPr="006B4E25">
        <w:t>srednji pomen učinkovitih in smiselnih komunikacij za uspešno vključevanje;</w:t>
      </w:r>
    </w:p>
    <w:p w14:paraId="07231B8D" w14:textId="0F24F059" w:rsidR="005545DB" w:rsidRPr="006B4E25" w:rsidRDefault="005B469C">
      <w:pPr>
        <w:pStyle w:val="SingleTxtG"/>
        <w:numPr>
          <w:ilvl w:val="0"/>
          <w:numId w:val="14"/>
        </w:numPr>
        <w:ind w:left="1134" w:firstLine="567"/>
      </w:pPr>
      <w:r w:rsidRPr="006B4E25">
        <w:t>u</w:t>
      </w:r>
      <w:r w:rsidR="00584594" w:rsidRPr="006B4E25">
        <w:t>krepe, sprejete za zagotovitev učinkovitega usposabljanja osebja</w:t>
      </w:r>
      <w:r w:rsidR="001B7E17" w:rsidRPr="006B4E25">
        <w:t xml:space="preserve"> o pravicah ljudi z invalidnostmi</w:t>
      </w:r>
      <w:r w:rsidR="00584594" w:rsidRPr="006B4E25">
        <w:t xml:space="preserve">, </w:t>
      </w:r>
      <w:r w:rsidR="001B7E17" w:rsidRPr="006B4E25">
        <w:t>vključ</w:t>
      </w:r>
      <w:r w:rsidR="00AF6753">
        <w:t>no z</w:t>
      </w:r>
      <w:r w:rsidR="00584594" w:rsidRPr="006B4E25">
        <w:t xml:space="preserve"> odvetniki, sodnimi uradniki, sodniki, osebjem v zaporih, tolmači </w:t>
      </w:r>
      <w:r w:rsidR="001B7E17" w:rsidRPr="006B4E25">
        <w:t xml:space="preserve">za znakovni </w:t>
      </w:r>
      <w:r w:rsidR="00584594" w:rsidRPr="006B4E25">
        <w:t xml:space="preserve">jezik ter udeleženci policijskega in kazenskega sistema. </w:t>
      </w:r>
    </w:p>
    <w:p w14:paraId="07231B8E" w14:textId="1D4C6781" w:rsidR="005545DB" w:rsidRPr="006B4E25" w:rsidRDefault="00584594">
      <w:pPr>
        <w:pStyle w:val="H1G"/>
      </w:pPr>
      <w:r w:rsidRPr="006B4E25">
        <w:tab/>
        <w:t>H.</w:t>
      </w:r>
      <w:r w:rsidRPr="006B4E25">
        <w:tab/>
        <w:t>Člen 14 o osebni svobodi in varnosti, člen 15 o prepovedi mučenja ali krutega, nečloveškega ali ponižujočega ravnanja ali kaznovanja, člen 16 o prepovedi izkoriščanja, nasilja in zlorabe ter člen 17 o varovanju osebne integritete</w:t>
      </w:r>
    </w:p>
    <w:p w14:paraId="07231B8F" w14:textId="1B6DF6B2" w:rsidR="005545DB" w:rsidRPr="006B4E25" w:rsidRDefault="00584594">
      <w:pPr>
        <w:pStyle w:val="SingleTxtG"/>
        <w:numPr>
          <w:ilvl w:val="0"/>
          <w:numId w:val="4"/>
        </w:numPr>
        <w:ind w:left="1134" w:firstLine="0"/>
      </w:pPr>
      <w:r w:rsidRPr="006B4E25">
        <w:t xml:space="preserve">Na ljudi z invalidnostmi lahko nesorazmerno vplivajo nasilje, zloraba in druge krute ter ponižujoče kazni, ki se lahko izrazijo v obliki omejevanja ali </w:t>
      </w:r>
      <w:r w:rsidR="001B7E17" w:rsidRPr="006B4E25">
        <w:t xml:space="preserve">segregacije </w:t>
      </w:r>
      <w:r w:rsidRPr="006B4E25">
        <w:t xml:space="preserve">ter nasilnih napadov. Odbor je še posebej zaskrbljen zaradi naslednjih dejanj, zoper ljudi z invalidnostmi, vključno z otroki, </w:t>
      </w:r>
      <w:r w:rsidR="005F41EA" w:rsidRPr="006B4E25">
        <w:t>ki so storjena na podlagi okvare</w:t>
      </w:r>
      <w:r w:rsidRPr="006B4E25">
        <w:t xml:space="preserve">: ločevanje invalidnih otrok od njihovih družin in njihova prisilna namestitev v zavodih; odvzem prostosti; mučenje ali kruto, nečloveško ali </w:t>
      </w:r>
      <w:r w:rsidR="005F41EA" w:rsidRPr="006B4E25">
        <w:t xml:space="preserve">ponižujoče </w:t>
      </w:r>
      <w:r w:rsidRPr="006B4E25">
        <w:t xml:space="preserve">ravnanje ali kaznovanje; nasilje in prisilno </w:t>
      </w:r>
      <w:r w:rsidR="005F41EA" w:rsidRPr="006B4E25">
        <w:t>zdravljenje</w:t>
      </w:r>
      <w:r w:rsidRPr="006B4E25">
        <w:t xml:space="preserve"> ljudmi z invalidnostmi v okviru ustanov za duševno zdravje ter zunaj njih. Države pogodbenice morajo sprejeti vse ustrezne ukrepe za zagotovitev zaščite pred vsemi oblikami izkoriščanja, nasilja in zlorabe ljudi z invalidnostmi ter za preprečevanje vseh takšnih oblik. Prisilno korektivno zdravljenje invalidnosti je treba prepovedati.</w:t>
      </w:r>
    </w:p>
    <w:p w14:paraId="07231B92" w14:textId="0CF74C34" w:rsidR="005545DB" w:rsidRPr="006B4E25" w:rsidRDefault="00584594">
      <w:pPr>
        <w:pStyle w:val="H1G"/>
      </w:pPr>
      <w:r w:rsidRPr="006B4E25">
        <w:tab/>
        <w:t>I.</w:t>
      </w:r>
      <w:r w:rsidRPr="006B4E25">
        <w:tab/>
        <w:t>Člen 19 o neodvisnem življenju in vključenosti v skupnost</w:t>
      </w:r>
    </w:p>
    <w:p w14:paraId="07231B93" w14:textId="48285D40" w:rsidR="005545DB" w:rsidRPr="006B4E25" w:rsidRDefault="00584594">
      <w:pPr>
        <w:pStyle w:val="SingleTxtG"/>
        <w:numPr>
          <w:ilvl w:val="0"/>
          <w:numId w:val="4"/>
        </w:numPr>
        <w:ind w:left="1134" w:firstLine="0"/>
      </w:pPr>
      <w:r w:rsidRPr="006B4E25">
        <w:t xml:space="preserve">Konvencija v členu 19 </w:t>
      </w:r>
      <w:r w:rsidR="001273BB" w:rsidRPr="006B4E25">
        <w:t>u</w:t>
      </w:r>
      <w:r w:rsidRPr="006B4E25">
        <w:t xml:space="preserve">trjuje nediskriminacijo in priznavanje enakih pravic ljudi z invalidnostmi do življenja s polno vključenostjo in samostojnim sodelovanjem v skupnosti. Za njihovo uresničevanje pravice do neodvisnega življenja in vključenosti v skupnost morajo države pogodbenice sprejeti učinkovite in ustrezne ukrepe za omogočanje polnega uživanja pravic ter polnega vključevanja in sodelovanja ljudi z invalidnostmi v skupnosti. To vključuje izvajanje strategij </w:t>
      </w:r>
      <w:proofErr w:type="spellStart"/>
      <w:r w:rsidRPr="006B4E25">
        <w:t>deinstitucionalizacije</w:t>
      </w:r>
      <w:proofErr w:type="spellEnd"/>
      <w:r w:rsidRPr="006B4E25">
        <w:t xml:space="preserve"> in, v skladu s Splošno pripombo Odbora št. 5 (2017) o neodvisnem življenju in vključenosti v skupnost, dodeljevanje sredstev za podporne storitve za neodvisno življenje, fizično ter cenovno dostopna stanovanja, podporne storitve za družinske negovalce ter dostop do vključujočega izobraževanja. </w:t>
      </w:r>
    </w:p>
    <w:p w14:paraId="07231B94" w14:textId="179D9C0E" w:rsidR="005545DB" w:rsidRPr="006B4E25" w:rsidRDefault="00584594">
      <w:pPr>
        <w:pStyle w:val="SingleTxtG"/>
        <w:numPr>
          <w:ilvl w:val="0"/>
          <w:numId w:val="4"/>
        </w:numPr>
        <w:ind w:left="1134" w:firstLine="0"/>
      </w:pPr>
      <w:r w:rsidRPr="006B4E25">
        <w:t>Konvencija v členu 19 priznava pravico, da posameznik zaradi svoje invalidnosti ni dolžan živeti v določenih življenjskih razmerah</w:t>
      </w:r>
      <w:r w:rsidR="001273BB" w:rsidRPr="006B4E25">
        <w:t xml:space="preserve"> (ureditvi)</w:t>
      </w:r>
      <w:r w:rsidRPr="006B4E25">
        <w:t xml:space="preserve">. Institucionalizacija je diskriminatorna, saj kaže na neuspeh pri ustvarjanju podpore in storitev v skupnosti za ljudi z invalidnostmi, ki so se prisiljeni odpovedati sodelovanju v življenju v skupnosti, da bi lahko prejeli zdravljenje. Institucionalizacija ljudi z invalidnostmi kot pogoj za prejemanje storitev duševnega zdravja v javnem sektorju pomeni različno obravnavo na podlagi invalidnosti, ki je kot taka diskriminatorna. </w:t>
      </w:r>
    </w:p>
    <w:p w14:paraId="07231B95" w14:textId="3E2C6E93" w:rsidR="005545DB" w:rsidRPr="006B4E25" w:rsidRDefault="00584594">
      <w:pPr>
        <w:pStyle w:val="SingleTxtG"/>
        <w:numPr>
          <w:ilvl w:val="0"/>
          <w:numId w:val="4"/>
        </w:numPr>
        <w:ind w:left="1134" w:firstLine="0"/>
      </w:pPr>
      <w:r w:rsidRPr="006B4E25">
        <w:t xml:space="preserve">Merila za upravičenost in postopki za omogočanje dostopa do podpornih storitev morajo biti opredeljeni na nediskriminatoren način in se morajo osredotočiti na zahteve posameznika, ne pa na njegovo invalidnost, v skladu s pristopom, ki temelji na človekovih pravicah. Razvoj podpornih storitev mora biti osredotočen na posameznika, </w:t>
      </w:r>
      <w:r w:rsidR="00BC0548" w:rsidRPr="006B4E25">
        <w:t xml:space="preserve">občutljiv za starost </w:t>
      </w:r>
      <w:r w:rsidRPr="006B4E25">
        <w:t xml:space="preserve">in spol ter kulturno primeren. </w:t>
      </w:r>
    </w:p>
    <w:p w14:paraId="07231B96" w14:textId="6A9AA645" w:rsidR="005545DB" w:rsidRPr="006B4E25" w:rsidRDefault="00584594">
      <w:pPr>
        <w:pStyle w:val="SingleTxtG"/>
        <w:numPr>
          <w:ilvl w:val="0"/>
          <w:numId w:val="4"/>
        </w:numPr>
        <w:ind w:left="1134" w:firstLine="0"/>
      </w:pPr>
      <w:r w:rsidRPr="006B4E25">
        <w:t xml:space="preserve">Države pogodbenice bi morale prepovedati in preprečiti tretjim osebam, da uvedejo praktične ali postopkovne ovire za neodvisno življenje in vključenost v skupnost, na primer z zagotavljanjem, da se storitve izvajajo skladno z neodvisnim življenjem in življenjem v skupnosti, da ljudem z invalidnostmi ni odvzeta možnost najema ter da niso prikrajšani na stanovanjskem trgu. </w:t>
      </w:r>
    </w:p>
    <w:p w14:paraId="07231B97" w14:textId="52168094" w:rsidR="005545DB" w:rsidRPr="006B4E25" w:rsidRDefault="00584594">
      <w:pPr>
        <w:pStyle w:val="H1G"/>
      </w:pPr>
      <w:r w:rsidRPr="006B4E25">
        <w:lastRenderedPageBreak/>
        <w:tab/>
        <w:t>J.</w:t>
      </w:r>
      <w:r w:rsidRPr="006B4E25">
        <w:tab/>
        <w:t>Člen 23 o spoštovanju doma in družine</w:t>
      </w:r>
    </w:p>
    <w:p w14:paraId="07231B98" w14:textId="6AB918D3" w:rsidR="005545DB" w:rsidRPr="006B4E25" w:rsidRDefault="00584594">
      <w:pPr>
        <w:pStyle w:val="SingleTxtG"/>
        <w:numPr>
          <w:ilvl w:val="0"/>
          <w:numId w:val="4"/>
        </w:numPr>
        <w:ind w:left="1134" w:firstLine="0"/>
      </w:pPr>
      <w:r w:rsidRPr="006B4E25">
        <w:t>Ljudje z invalidnostmi se pogosto soočajo z diskriminacijo pri uresničevanju svoje pravice do poroke ali starševskih in družinskih pravic zaradi diskriminatornih zakonov, politik in upravnih ukrepov. Starši s posebnimi potrebami so pogosto obravnavani kot neustrezni ali nezmožni skrbeti za svoje otroke. Ločitev otroka od staršev na podlagi invalidnosti otroka, staršev ali obeh pomeni diskriminacijo in kršitev člena 23.</w:t>
      </w:r>
    </w:p>
    <w:p w14:paraId="07231B99" w14:textId="23B7346B" w:rsidR="005545DB" w:rsidRPr="006B4E25" w:rsidRDefault="00584594">
      <w:pPr>
        <w:pStyle w:val="SingleTxtG"/>
        <w:numPr>
          <w:ilvl w:val="0"/>
          <w:numId w:val="4"/>
        </w:numPr>
        <w:ind w:left="1134" w:firstLine="0"/>
      </w:pPr>
      <w:r w:rsidRPr="006B4E25">
        <w:t xml:space="preserve">Namestitev otrok v zavode </w:t>
      </w:r>
      <w:r w:rsidR="00BC0548" w:rsidRPr="006B4E25">
        <w:t>zaradi</w:t>
      </w:r>
      <w:r w:rsidRPr="006B4E25">
        <w:t xml:space="preserve"> njihove </w:t>
      </w:r>
      <w:r w:rsidR="00BC0548" w:rsidRPr="006B4E25">
        <w:t xml:space="preserve">okvare </w:t>
      </w:r>
      <w:r w:rsidRPr="006B4E25">
        <w:t>je prav tako oblika diskriminacije, ki je prepovedana v skladu s 5. odstavkom člena 23 Konvencije. Države morajo zagotoviti, da so starši z invalidnostmi in starši otrok z invalidnostmi v skupnosti deležni potrebne podpore, da lahko skrbijo za svoje otroke.</w:t>
      </w:r>
    </w:p>
    <w:p w14:paraId="07231B9A" w14:textId="13AB9C79" w:rsidR="005545DB" w:rsidRPr="006B4E25" w:rsidRDefault="00584594">
      <w:pPr>
        <w:pStyle w:val="H1G"/>
      </w:pPr>
      <w:r w:rsidRPr="006B4E25">
        <w:tab/>
        <w:t>K.</w:t>
      </w:r>
      <w:r w:rsidRPr="006B4E25">
        <w:tab/>
        <w:t>Člen 24 o izobraževanju</w:t>
      </w:r>
    </w:p>
    <w:p w14:paraId="07231B9B" w14:textId="7D27A094" w:rsidR="005545DB" w:rsidRPr="006B4E25" w:rsidRDefault="00584594">
      <w:pPr>
        <w:pStyle w:val="SingleTxtG"/>
        <w:numPr>
          <w:ilvl w:val="0"/>
          <w:numId w:val="4"/>
        </w:numPr>
        <w:ind w:left="1134" w:firstLine="0"/>
      </w:pPr>
      <w:r w:rsidRPr="006B4E25">
        <w:t xml:space="preserve">Dejstvo, da nekatere države pogodbenice učencem z invalidnostmi, vključno z učenci z vidnimi in nevidnimi invalidnostmi ter učenci, ki doživljajo večkratno diskriminacijo, ne zagotavljajo enakega dostopa do </w:t>
      </w:r>
      <w:r w:rsidR="00BB1037" w:rsidRPr="006B4E25">
        <w:t>običajnih</w:t>
      </w:r>
      <w:r w:rsidRPr="006B4E25">
        <w:t xml:space="preserve"> šol z vključujočim in kakovostnim izobraževanjem, je diskriminatorno, nasprotuje ciljem Konvencije ter je v neposrednem nasprotju z njenima členoma 5 in 24. Člen 5(1) je povezan s členom 24 Konvencije ter od držav pogodbenic zahteva, da odstranijo vse vrste diskriminatornih ovir</w:t>
      </w:r>
      <w:r w:rsidR="00BB1037" w:rsidRPr="006B4E25">
        <w:t xml:space="preserve"> za vključujoče izobraževanje</w:t>
      </w:r>
      <w:r w:rsidRPr="006B4E25">
        <w:t xml:space="preserve">, vključno s pravnimi in socialnimi ovirami. </w:t>
      </w:r>
    </w:p>
    <w:p w14:paraId="07231B9C" w14:textId="22C940CD" w:rsidR="005545DB" w:rsidRPr="006B4E25" w:rsidRDefault="00BB1037">
      <w:pPr>
        <w:pStyle w:val="SingleTxtG"/>
        <w:numPr>
          <w:ilvl w:val="0"/>
          <w:numId w:val="4"/>
        </w:numPr>
        <w:ind w:left="1134" w:firstLine="0"/>
      </w:pPr>
      <w:proofErr w:type="spellStart"/>
      <w:r w:rsidRPr="006B4E25">
        <w:t>Segregirani</w:t>
      </w:r>
      <w:proofErr w:type="spellEnd"/>
      <w:r w:rsidRPr="006B4E25">
        <w:t xml:space="preserve"> </w:t>
      </w:r>
      <w:r w:rsidR="00584594" w:rsidRPr="006B4E25">
        <w:t xml:space="preserve"> modeli izobraževanja, ki učence </w:t>
      </w:r>
      <w:r w:rsidRPr="006B4E25">
        <w:t>z invalidnostmi</w:t>
      </w:r>
      <w:r w:rsidR="00584594" w:rsidRPr="006B4E25">
        <w:t xml:space="preserve"> izključujejo iz rednega in vključujočega izobraževanja </w:t>
      </w:r>
      <w:r w:rsidRPr="006B4E25">
        <w:t>zaradi</w:t>
      </w:r>
      <w:r w:rsidR="00584594" w:rsidRPr="006B4E25">
        <w:t xml:space="preserve"> invalidnosti, so v nasprotju s členoma 5(2) in 24(1)(a) Konvencije. Člen 5(3) zahteva, da države pogodbenice sprejmejo vse ustrezne ukrepe za zagotovitev </w:t>
      </w:r>
      <w:r w:rsidRPr="006B4E25">
        <w:t xml:space="preserve">razumne </w:t>
      </w:r>
      <w:r w:rsidR="00584594" w:rsidRPr="006B4E25">
        <w:t xml:space="preserve">prilagoditve. Ta pravica je za ljudi z invalidnostmi </w:t>
      </w:r>
      <w:r w:rsidRPr="006B4E25">
        <w:t>okrepljena</w:t>
      </w:r>
      <w:r w:rsidR="00584594" w:rsidRPr="006B4E25">
        <w:t xml:space="preserve"> v členu 24(2)(b), ki od držav pogodbenic zahteva, da za ljudi z invalidnostmi </w:t>
      </w:r>
      <w:r w:rsidRPr="006B4E25">
        <w:t xml:space="preserve">na izenačeni osnovi </w:t>
      </w:r>
      <w:r w:rsidR="00584594" w:rsidRPr="006B4E25">
        <w:t xml:space="preserve">kot </w:t>
      </w:r>
      <w:r w:rsidRPr="006B4E25">
        <w:t xml:space="preserve">drugim </w:t>
      </w:r>
      <w:r w:rsidR="002C2ABB" w:rsidRPr="006B4E25">
        <w:t xml:space="preserve">zagotovijo vključujoče izobraževanje </w:t>
      </w:r>
      <w:r w:rsidR="00584594" w:rsidRPr="006B4E25">
        <w:t xml:space="preserve">v skupnostih, v katerih živijo. Ta cilj je mogoče doseči z zagotavljanjem </w:t>
      </w:r>
      <w:r w:rsidR="006318FB">
        <w:t xml:space="preserve">razumne </w:t>
      </w:r>
      <w:r w:rsidR="00584594" w:rsidRPr="006B4E25">
        <w:t xml:space="preserve">prilagoditve zahtevam posameznika v skladu s členom 24(2)(c) in razvojem novih ter vključujočih </w:t>
      </w:r>
      <w:r w:rsidR="002C2ABB" w:rsidRPr="006B4E25">
        <w:t xml:space="preserve">rešitev </w:t>
      </w:r>
      <w:r w:rsidR="00584594" w:rsidRPr="006B4E25">
        <w:t xml:space="preserve">v skladu z univerzalnim oblikovanjem. Standardizirani sistemi ocenjevanja, vključno s sprejemnimi izpiti, ki neposredno ali posredno izključujejo učence </w:t>
      </w:r>
      <w:r w:rsidR="002C2ABB" w:rsidRPr="006B4E25">
        <w:t>z invalidnostmi</w:t>
      </w:r>
      <w:r w:rsidR="00584594" w:rsidRPr="006B4E25">
        <w:t xml:space="preserve">, so </w:t>
      </w:r>
      <w:proofErr w:type="spellStart"/>
      <w:r w:rsidR="00584594" w:rsidRPr="006B4E25">
        <w:t>diskriminatorni</w:t>
      </w:r>
      <w:proofErr w:type="spellEnd"/>
      <w:r w:rsidR="00584594" w:rsidRPr="006B4E25">
        <w:t xml:space="preserve"> ter v nasprotju s členoma 5 in 24. Obveznosti držav pogodbenic presegajo okvire</w:t>
      </w:r>
      <w:r w:rsidR="003B5F47" w:rsidRPr="006B4E25">
        <w:t xml:space="preserve"> šole</w:t>
      </w:r>
      <w:r w:rsidR="00584594" w:rsidRPr="006B4E25">
        <w:t xml:space="preserve">. Države pogodbenice morajo zagotoviti dostopen šolski prevoz vsem učencem z invalidnostmi v primeru, da so možnosti prevoza omejene zaradi socialnih ali </w:t>
      </w:r>
      <w:r w:rsidR="003B5F47" w:rsidRPr="006B4E25">
        <w:t xml:space="preserve">ekonomskih </w:t>
      </w:r>
      <w:r w:rsidR="00584594" w:rsidRPr="006B4E25">
        <w:t xml:space="preserve">ovir. </w:t>
      </w:r>
    </w:p>
    <w:p w14:paraId="07231B9D" w14:textId="6263D98C" w:rsidR="005545DB" w:rsidRPr="006B4E25" w:rsidRDefault="00584594">
      <w:pPr>
        <w:pStyle w:val="SingleTxtG"/>
        <w:numPr>
          <w:ilvl w:val="0"/>
          <w:numId w:val="4"/>
        </w:numPr>
        <w:ind w:left="1134" w:firstLine="0"/>
      </w:pPr>
      <w:r w:rsidRPr="006B4E25">
        <w:t xml:space="preserve">Da bi zagotovili enakost in nediskriminacijo </w:t>
      </w:r>
      <w:r w:rsidR="003B5F47" w:rsidRPr="006B4E25">
        <w:t xml:space="preserve">gluhim </w:t>
      </w:r>
      <w:r w:rsidRPr="006B4E25">
        <w:t>otrok</w:t>
      </w:r>
      <w:r w:rsidR="003B5F47" w:rsidRPr="006B4E25">
        <w:t>om</w:t>
      </w:r>
      <w:r w:rsidRPr="006B4E25">
        <w:t xml:space="preserve"> v izobraževalnih okoljih, jim je treba zagotoviti okolja za učenje znakovnega jezika z gluhimi vrstniki in gluhimi odraslimi vzorniki. </w:t>
      </w:r>
      <w:r w:rsidR="003B5F47" w:rsidRPr="006B4E25">
        <w:t>Dejstvi</w:t>
      </w:r>
      <w:r w:rsidRPr="006B4E25">
        <w:t>, da učitelji gluhih otrok ne znajo</w:t>
      </w:r>
      <w:r w:rsidR="003B5F47" w:rsidRPr="006B4E25">
        <w:t xml:space="preserve"> dovolj</w:t>
      </w:r>
      <w:r w:rsidRPr="006B4E25">
        <w:t xml:space="preserve"> znakovnega jezika, in nedostopnost šolskih okolij  </w:t>
      </w:r>
      <w:r w:rsidR="003B5F47" w:rsidRPr="006B4E25">
        <w:t xml:space="preserve">izključujeta </w:t>
      </w:r>
      <w:r w:rsidRPr="006B4E25">
        <w:t xml:space="preserve"> </w:t>
      </w:r>
      <w:r w:rsidR="003B5F47" w:rsidRPr="006B4E25">
        <w:t xml:space="preserve">gluhe </w:t>
      </w:r>
      <w:r w:rsidRPr="006B4E25">
        <w:t>otrok</w:t>
      </w:r>
      <w:r w:rsidR="003B5F47" w:rsidRPr="006B4E25">
        <w:t>e</w:t>
      </w:r>
      <w:r w:rsidRPr="006B4E25">
        <w:t xml:space="preserve">, zato veljata za </w:t>
      </w:r>
      <w:proofErr w:type="spellStart"/>
      <w:r w:rsidRPr="006B4E25">
        <w:t>diskriminatorni</w:t>
      </w:r>
      <w:proofErr w:type="spellEnd"/>
      <w:r w:rsidRPr="006B4E25">
        <w:t xml:space="preserve">. Odbor poziva države pogodbenice, naj ravnajo v skladu s </w:t>
      </w:r>
      <w:r w:rsidR="003B5F47" w:rsidRPr="006B4E25">
        <w:t>Splošnim komentarjem</w:t>
      </w:r>
      <w:r w:rsidRPr="006B4E25">
        <w:t xml:space="preserve"> št. 4 (2016) o pravici do vključujočega izobraževanja pri izvajanju ukrepov za izpolnjevanje svojih obveznosti iz členov 5 in 24. </w:t>
      </w:r>
    </w:p>
    <w:p w14:paraId="07231B9E" w14:textId="268E05AF" w:rsidR="005545DB" w:rsidRPr="006B4E25" w:rsidRDefault="00584594">
      <w:pPr>
        <w:pStyle w:val="H1G"/>
      </w:pPr>
      <w:r w:rsidRPr="006B4E25">
        <w:tab/>
        <w:t>L.</w:t>
      </w:r>
      <w:r w:rsidRPr="006B4E25">
        <w:tab/>
        <w:t>Člen 25 o zdravju</w:t>
      </w:r>
    </w:p>
    <w:p w14:paraId="07231B9F" w14:textId="4BDBC5A1" w:rsidR="005545DB" w:rsidRPr="006B4E25" w:rsidRDefault="00584594">
      <w:pPr>
        <w:pStyle w:val="SingleTxtG"/>
        <w:numPr>
          <w:ilvl w:val="0"/>
          <w:numId w:val="4"/>
        </w:numPr>
        <w:ind w:left="1134" w:firstLine="0"/>
      </w:pPr>
      <w:r w:rsidRPr="006B4E25">
        <w:t xml:space="preserve">V skladu s členoma 5 in 25 Konvencije so države pogodbenice dolžne prepovedati in preprečiti diskriminatorno odrekanje zdravstvenih storitev ljudem z invalidnostmi ter zagotoviti zdravstvene storitve, ki </w:t>
      </w:r>
      <w:r w:rsidR="009965FC" w:rsidRPr="006B4E25">
        <w:t>so občutljive za</w:t>
      </w:r>
      <w:r w:rsidRPr="006B4E25">
        <w:t xml:space="preserve"> spol, vključno s tistimi, ki se nanašajo na spolno in reproduktivno zdravje ter pravice. Države pogodbenice morajo obravnavati tudi oblike diskriminacije, ki kršijo pravice ljudi z invalidnostmi ter ovirajo njihovo pravico do zdravja s kršitvami pravice do prejemanja zdravstvenega varstva na podlagi svobodne in informirane privolitve</w:t>
      </w:r>
      <w:r w:rsidRPr="006B4E25">
        <w:rPr>
          <w:vertAlign w:val="superscript"/>
        </w:rPr>
        <w:footnoteReference w:id="16"/>
      </w:r>
      <w:r w:rsidR="00995285" w:rsidRPr="006B4E25">
        <w:t>,</w:t>
      </w:r>
      <w:r w:rsidRPr="006B4E25">
        <w:t xml:space="preserve"> ali ki onemogočajo dostop do objekto</w:t>
      </w:r>
      <w:r w:rsidR="00995285" w:rsidRPr="006B4E25">
        <w:t>v</w:t>
      </w:r>
      <w:r w:rsidR="001E7DB6" w:rsidRPr="006B4E25">
        <w:t xml:space="preserve"> in naprav</w:t>
      </w:r>
      <w:r w:rsidR="00995285" w:rsidRPr="006B4E25">
        <w:t>, komunikacije ali informacij</w:t>
      </w:r>
      <w:r w:rsidRPr="006B4E25">
        <w:rPr>
          <w:vertAlign w:val="superscript"/>
        </w:rPr>
        <w:footnoteReference w:id="17"/>
      </w:r>
      <w:r w:rsidRPr="006B4E25">
        <w:t xml:space="preserve"> </w:t>
      </w:r>
      <w:r w:rsidR="00995285" w:rsidRPr="006B4E25">
        <w:t>.</w:t>
      </w:r>
    </w:p>
    <w:p w14:paraId="07231BA0" w14:textId="035A5BAF" w:rsidR="005545DB" w:rsidRPr="006B4E25" w:rsidRDefault="00584594">
      <w:pPr>
        <w:pStyle w:val="H1G"/>
      </w:pPr>
      <w:r w:rsidRPr="006B4E25">
        <w:lastRenderedPageBreak/>
        <w:tab/>
        <w:t>M.</w:t>
      </w:r>
      <w:r w:rsidRPr="006B4E25">
        <w:tab/>
        <w:t>Člen 27 o delu in zaposlovanju</w:t>
      </w:r>
    </w:p>
    <w:p w14:paraId="07231BA1" w14:textId="20E659DC" w:rsidR="005545DB" w:rsidRPr="006B4E25" w:rsidRDefault="00584594">
      <w:pPr>
        <w:pStyle w:val="SingleTxtG"/>
        <w:numPr>
          <w:ilvl w:val="0"/>
          <w:numId w:val="4"/>
        </w:numPr>
        <w:ind w:left="1134" w:firstLine="0"/>
      </w:pPr>
      <w:r w:rsidRPr="006B4E25">
        <w:t xml:space="preserve">Za doseganje dejanske </w:t>
      </w:r>
      <w:r w:rsidR="001E7DB6" w:rsidRPr="006B4E25">
        <w:t>(v izvirn</w:t>
      </w:r>
      <w:r w:rsidR="006B4E25" w:rsidRPr="006B4E25">
        <w:t>i</w:t>
      </w:r>
      <w:r w:rsidR="001E7DB6" w:rsidRPr="006B4E25">
        <w:t xml:space="preserve">ku: de </w:t>
      </w:r>
      <w:proofErr w:type="spellStart"/>
      <w:r w:rsidR="001E7DB6" w:rsidRPr="006B4E25">
        <w:t>facto</w:t>
      </w:r>
      <w:proofErr w:type="spellEnd"/>
      <w:r w:rsidR="001E7DB6" w:rsidRPr="006B4E25">
        <w:t xml:space="preserve">) </w:t>
      </w:r>
      <w:r w:rsidRPr="006B4E25">
        <w:t xml:space="preserve">enakosti v smislu Konvencije morajo države pogodbenice zagotoviti, da ne prihaja do diskriminacije </w:t>
      </w:r>
      <w:r w:rsidR="004D5E99" w:rsidRPr="006B4E25">
        <w:t xml:space="preserve">na podlagi </w:t>
      </w:r>
      <w:r w:rsidR="00D7307F" w:rsidRPr="006B4E25">
        <w:t>(</w:t>
      </w:r>
      <w:r w:rsidRPr="006B4E25">
        <w:t>zaradi</w:t>
      </w:r>
      <w:r w:rsidR="00D7307F" w:rsidRPr="006B4E25">
        <w:t>)</w:t>
      </w:r>
      <w:r w:rsidRPr="006B4E25">
        <w:t xml:space="preserve"> invalidnosti v zvezi z delom in zaposlovanjem.</w:t>
      </w:r>
      <w:r w:rsidRPr="006B4E25">
        <w:rPr>
          <w:rStyle w:val="Sprotnaopomba-sklic"/>
        </w:rPr>
        <w:footnoteReference w:id="18"/>
      </w:r>
      <w:r w:rsidRPr="006B4E25">
        <w:t xml:space="preserve"> Da bi zagotovili </w:t>
      </w:r>
      <w:r w:rsidR="006318FB">
        <w:t xml:space="preserve">razumne </w:t>
      </w:r>
      <w:r w:rsidRPr="006B4E25">
        <w:t>prilagoditve, kot je določeno v členu 5(3), in dosegli ali pospešili dejansko</w:t>
      </w:r>
      <w:r w:rsidR="00D7307F" w:rsidRPr="006B4E25">
        <w:t xml:space="preserve"> (v izvirn</w:t>
      </w:r>
      <w:r w:rsidR="006B4E25" w:rsidRPr="006B4E25">
        <w:t>i</w:t>
      </w:r>
      <w:r w:rsidR="00D7307F" w:rsidRPr="006B4E25">
        <w:t xml:space="preserve">ku: de </w:t>
      </w:r>
      <w:proofErr w:type="spellStart"/>
      <w:r w:rsidR="00D7307F" w:rsidRPr="006B4E25">
        <w:t>facto</w:t>
      </w:r>
      <w:proofErr w:type="spellEnd"/>
      <w:r w:rsidR="00D7307F" w:rsidRPr="006B4E25">
        <w:t>)</w:t>
      </w:r>
      <w:r w:rsidRPr="006B4E25">
        <w:t xml:space="preserve"> enakost v delovnem okolju, kot je določeno v členu 5(4), morajo države pogodbenice:</w:t>
      </w:r>
    </w:p>
    <w:p w14:paraId="07231BA2" w14:textId="4EE5E4A8" w:rsidR="005545DB" w:rsidRPr="006B4E25" w:rsidRDefault="00995285">
      <w:pPr>
        <w:pStyle w:val="SingleTxtG"/>
        <w:numPr>
          <w:ilvl w:val="0"/>
          <w:numId w:val="15"/>
        </w:numPr>
        <w:ind w:left="1134" w:firstLine="567"/>
      </w:pPr>
      <w:r w:rsidRPr="006B4E25">
        <w:t>p</w:t>
      </w:r>
      <w:r w:rsidR="00584594" w:rsidRPr="006B4E25">
        <w:t xml:space="preserve">oenostaviti prehod iz </w:t>
      </w:r>
      <w:proofErr w:type="spellStart"/>
      <w:r w:rsidR="00D7307F" w:rsidRPr="006B4E25">
        <w:t>segregiranih</w:t>
      </w:r>
      <w:proofErr w:type="spellEnd"/>
      <w:r w:rsidR="00D7307F" w:rsidRPr="006B4E25">
        <w:t xml:space="preserve"> (</w:t>
      </w:r>
      <w:r w:rsidR="00584594" w:rsidRPr="006B4E25">
        <w:t>ločenih</w:t>
      </w:r>
      <w:r w:rsidR="00D7307F" w:rsidRPr="006B4E25">
        <w:t>)</w:t>
      </w:r>
      <w:r w:rsidR="00584594" w:rsidRPr="006B4E25">
        <w:t xml:space="preserve"> delovnih okolij za ljudi z invalidnostmi in podpreti njihovo vključevanje v odprt trg dela, v vmesnem času pa jim zagotoviti tudi takojšnjo uporabo delavskih pravic v teh okoljih; </w:t>
      </w:r>
    </w:p>
    <w:p w14:paraId="07231BA3" w14:textId="0020DFC5" w:rsidR="005545DB" w:rsidRPr="006B4E25" w:rsidRDefault="00995285">
      <w:pPr>
        <w:pStyle w:val="SingleTxtG"/>
        <w:numPr>
          <w:ilvl w:val="0"/>
          <w:numId w:val="15"/>
        </w:numPr>
        <w:ind w:left="1134" w:firstLine="567"/>
      </w:pPr>
      <w:r w:rsidRPr="006B4E25">
        <w:t>s</w:t>
      </w:r>
      <w:r w:rsidR="00584594" w:rsidRPr="006B4E25">
        <w:t xml:space="preserve">podbujati pravico do </w:t>
      </w:r>
      <w:r w:rsidR="00D7307F" w:rsidRPr="006B4E25">
        <w:t xml:space="preserve">podporne </w:t>
      </w:r>
      <w:r w:rsidR="00584594" w:rsidRPr="006B4E25">
        <w:t xml:space="preserve">zaposlitve, vključno s </w:t>
      </w:r>
      <w:r w:rsidR="00D7307F" w:rsidRPr="006B4E25">
        <w:t>delovno podporo (asistenco)</w:t>
      </w:r>
      <w:r w:rsidR="00584594" w:rsidRPr="006B4E25">
        <w:t xml:space="preserve">, </w:t>
      </w:r>
      <w:r w:rsidR="00D7307F" w:rsidRPr="006B4E25">
        <w:t xml:space="preserve">vodenjem in </w:t>
      </w:r>
      <w:r w:rsidR="00584594" w:rsidRPr="006B4E25">
        <w:t>usposabljanjem za delo in programi poklicnih kvalifikacij; varovati pravice delavcev z invalidnostmi; in zagotoviti pravico do proste izbire zaposlitve;</w:t>
      </w:r>
    </w:p>
    <w:p w14:paraId="07231BA4" w14:textId="401200EC" w:rsidR="005545DB" w:rsidRPr="006B4E25" w:rsidRDefault="00995285">
      <w:pPr>
        <w:pStyle w:val="SingleTxtG"/>
        <w:numPr>
          <w:ilvl w:val="0"/>
          <w:numId w:val="15"/>
        </w:numPr>
        <w:ind w:left="1134" w:firstLine="567"/>
      </w:pPr>
      <w:r w:rsidRPr="006B4E25">
        <w:t>z</w:t>
      </w:r>
      <w:r w:rsidR="00584594" w:rsidRPr="006B4E25">
        <w:t xml:space="preserve">agotoviti, da ljudje z invalidnostmi prejmejo najmanj </w:t>
      </w:r>
      <w:r w:rsidR="00D7307F" w:rsidRPr="006B4E25">
        <w:t xml:space="preserve">ustrezno </w:t>
      </w:r>
      <w:r w:rsidR="00584594" w:rsidRPr="006B4E25">
        <w:t>minimalno plač</w:t>
      </w:r>
      <w:r w:rsidR="00D7307F" w:rsidRPr="006B4E25">
        <w:t>il</w:t>
      </w:r>
      <w:r w:rsidR="00584594" w:rsidRPr="006B4E25">
        <w:t xml:space="preserve">o in da ob začetku dela ne izgubijo </w:t>
      </w:r>
      <w:r w:rsidR="002C6125" w:rsidRPr="006B4E25">
        <w:t>ugo</w:t>
      </w:r>
      <w:r w:rsidR="006318FB">
        <w:t>d</w:t>
      </w:r>
      <w:r w:rsidR="002C6125" w:rsidRPr="006B4E25">
        <w:t>nosti</w:t>
      </w:r>
      <w:r w:rsidR="00584594" w:rsidRPr="006B4E25">
        <w:t xml:space="preserve"> </w:t>
      </w:r>
      <w:r w:rsidR="002C6125" w:rsidRPr="006B4E25">
        <w:t>invalidskih prejemkov</w:t>
      </w:r>
      <w:r w:rsidR="00584594" w:rsidRPr="006B4E25">
        <w:t>;</w:t>
      </w:r>
    </w:p>
    <w:p w14:paraId="07231BA5" w14:textId="2909ADCF" w:rsidR="005545DB" w:rsidRPr="006B4E25" w:rsidRDefault="00995285">
      <w:pPr>
        <w:pStyle w:val="SingleTxtG"/>
        <w:numPr>
          <w:ilvl w:val="0"/>
          <w:numId w:val="15"/>
        </w:numPr>
        <w:ind w:left="1134" w:firstLine="567"/>
      </w:pPr>
      <w:r w:rsidRPr="006B4E25">
        <w:t>i</w:t>
      </w:r>
      <w:r w:rsidR="00584594" w:rsidRPr="006B4E25">
        <w:t xml:space="preserve">zrecno priznati odrekanje </w:t>
      </w:r>
      <w:r w:rsidR="006318FB">
        <w:t xml:space="preserve">razumne </w:t>
      </w:r>
      <w:r w:rsidR="00584594" w:rsidRPr="006B4E25">
        <w:t>prilagoditve kot obliko diskriminacije ter prepovedati večkratno in presečno</w:t>
      </w:r>
      <w:r w:rsidR="002C6125" w:rsidRPr="006B4E25">
        <w:t xml:space="preserve"> (</w:t>
      </w:r>
      <w:proofErr w:type="spellStart"/>
      <w:r w:rsidR="002C6125" w:rsidRPr="006B4E25">
        <w:t>intersekcijsko</w:t>
      </w:r>
      <w:proofErr w:type="spellEnd"/>
      <w:r w:rsidR="002C6125" w:rsidRPr="006B4E25">
        <w:t>)</w:t>
      </w:r>
      <w:r w:rsidR="00584594" w:rsidRPr="006B4E25">
        <w:t xml:space="preserve"> diskriminacijo ter nadlegovanje;</w:t>
      </w:r>
    </w:p>
    <w:p w14:paraId="07231BA6" w14:textId="45050DC0" w:rsidR="005545DB" w:rsidRPr="006B4E25" w:rsidRDefault="00995285">
      <w:pPr>
        <w:pStyle w:val="SingleTxtG"/>
        <w:numPr>
          <w:ilvl w:val="0"/>
          <w:numId w:val="15"/>
        </w:numPr>
        <w:ind w:left="1134" w:firstLine="567"/>
      </w:pPr>
      <w:r w:rsidRPr="006B4E25">
        <w:t>z</w:t>
      </w:r>
      <w:r w:rsidR="00584594" w:rsidRPr="006B4E25">
        <w:t xml:space="preserve">agotoviti ustrezen prehod v zaposlitev in iz nje za ljudi z invalidnostmi na nediskriminatoren način. Države pogodbenice so dolžne zagotoviti enak in učinkovit dostop do </w:t>
      </w:r>
      <w:r w:rsidR="002C6125" w:rsidRPr="006B4E25">
        <w:t xml:space="preserve">ugodnosti, </w:t>
      </w:r>
      <w:r w:rsidR="00584594" w:rsidRPr="006B4E25">
        <w:t xml:space="preserve">nadomestil in pravic, kot so nadomestila za upokojitev ali brezposelnost. Takšnih </w:t>
      </w:r>
      <w:r w:rsidR="002C6125" w:rsidRPr="006B4E25">
        <w:t xml:space="preserve">upravičenj </w:t>
      </w:r>
      <w:r w:rsidR="00584594" w:rsidRPr="006B4E25">
        <w:t>se ne sme kršiti z izključitvijo iz zaposlitve, s čimer bi se še dodatno poslabšal položaj izključe</w:t>
      </w:r>
      <w:r w:rsidR="00E11997" w:rsidRPr="006B4E25">
        <w:t>nosti</w:t>
      </w:r>
      <w:r w:rsidR="00584594" w:rsidRPr="006B4E25">
        <w:t>;</w:t>
      </w:r>
    </w:p>
    <w:p w14:paraId="07231BA7" w14:textId="040B3E2E" w:rsidR="005545DB" w:rsidRPr="006B4E25" w:rsidRDefault="009346F2">
      <w:pPr>
        <w:pStyle w:val="SingleTxtG"/>
        <w:numPr>
          <w:ilvl w:val="0"/>
          <w:numId w:val="15"/>
        </w:numPr>
        <w:ind w:left="1134" w:firstLine="567"/>
      </w:pPr>
      <w:r w:rsidRPr="006B4E25">
        <w:t>s</w:t>
      </w:r>
      <w:r w:rsidR="00584594" w:rsidRPr="006B4E25">
        <w:t>podbujati delo v vključujočem, dostopnem, varnem in zdravem delovnem okolju v javnem in zasebnem sektorju;</w:t>
      </w:r>
    </w:p>
    <w:p w14:paraId="07231BA8" w14:textId="16ABB1DC" w:rsidR="005545DB" w:rsidRPr="006B4E25" w:rsidRDefault="009346F2">
      <w:pPr>
        <w:pStyle w:val="SingleTxtG"/>
        <w:numPr>
          <w:ilvl w:val="0"/>
          <w:numId w:val="15"/>
        </w:numPr>
        <w:ind w:left="1134" w:firstLine="567"/>
      </w:pPr>
      <w:r w:rsidRPr="006B4E25">
        <w:t>z</w:t>
      </w:r>
      <w:r w:rsidR="00584594" w:rsidRPr="006B4E25">
        <w:t xml:space="preserve">agotoviti, da imajo ljudje z invalidnostmi enake možnosti </w:t>
      </w:r>
      <w:r w:rsidR="00E11997" w:rsidRPr="006B4E25">
        <w:t xml:space="preserve">in priložnosti </w:t>
      </w:r>
      <w:r w:rsidR="00584594" w:rsidRPr="006B4E25">
        <w:t>za napredovanje v karieri s pomočjo rednih ocenjevalnih sestankov s svojimi vodji ter z opredelitvijo ciljev, ki jih morajo doseči kot del celovite strategije;</w:t>
      </w:r>
    </w:p>
    <w:p w14:paraId="07231BA9" w14:textId="10F9220B" w:rsidR="005545DB" w:rsidRPr="006B4E25" w:rsidRDefault="009346F2">
      <w:pPr>
        <w:pStyle w:val="SingleTxtG"/>
        <w:numPr>
          <w:ilvl w:val="0"/>
          <w:numId w:val="15"/>
        </w:numPr>
        <w:ind w:left="1134" w:firstLine="567"/>
      </w:pPr>
      <w:r w:rsidRPr="006B4E25">
        <w:t>z</w:t>
      </w:r>
      <w:r w:rsidR="00584594" w:rsidRPr="006B4E25">
        <w:t xml:space="preserve">agotoviti dostop do usposabljanja, </w:t>
      </w:r>
      <w:proofErr w:type="spellStart"/>
      <w:r w:rsidR="00584594" w:rsidRPr="006B4E25">
        <w:t>preusposabljanja</w:t>
      </w:r>
      <w:proofErr w:type="spellEnd"/>
      <w:r w:rsidR="00584594" w:rsidRPr="006B4E25">
        <w:t xml:space="preserve"> in izobraževanja, vključno s poklicnim usposabljanjem in krepitvijo zmogljivosti za zaposlene ljudi z invalidnostmi, ter zagotoviti usposabljanje o zaposlovanju ljudi z invalidnostmi in </w:t>
      </w:r>
      <w:r w:rsidR="006318FB">
        <w:t xml:space="preserve">razumni </w:t>
      </w:r>
      <w:r w:rsidR="00584594" w:rsidRPr="006B4E25">
        <w:t>prilagoditvi za delodajalce, reprezentativne organizacije zaposlenih in delodajalcev, sindikate in pristojne organe;</w:t>
      </w:r>
    </w:p>
    <w:p w14:paraId="07231BAA" w14:textId="2FF9A132" w:rsidR="005545DB" w:rsidRPr="006B4E25" w:rsidRDefault="009346F2">
      <w:pPr>
        <w:pStyle w:val="SingleTxtG"/>
        <w:numPr>
          <w:ilvl w:val="0"/>
          <w:numId w:val="15"/>
        </w:numPr>
        <w:ind w:left="1134" w:firstLine="567"/>
      </w:pPr>
      <w:r w:rsidRPr="006B4E25">
        <w:t>p</w:t>
      </w:r>
      <w:r w:rsidR="00584594" w:rsidRPr="006B4E25">
        <w:t xml:space="preserve">rizadevati si za splošno veljavne ukrepe varnosti in zdravja pri delu za ljudi z invalidnostmi, vključno s predpisi o varnosti in zdravju pri delu, ki so v odnosu do ljudi z invalidnostmi </w:t>
      </w:r>
      <w:proofErr w:type="spellStart"/>
      <w:r w:rsidR="00584594" w:rsidRPr="006B4E25">
        <w:t>nediskriminatorni</w:t>
      </w:r>
      <w:proofErr w:type="spellEnd"/>
      <w:r w:rsidR="00584594" w:rsidRPr="006B4E25">
        <w:t xml:space="preserve"> in vključujoči;</w:t>
      </w:r>
    </w:p>
    <w:p w14:paraId="07231BAB" w14:textId="3CF4AAD1" w:rsidR="005545DB" w:rsidRPr="006B4E25" w:rsidRDefault="009346F2">
      <w:pPr>
        <w:pStyle w:val="SingleTxtG"/>
        <w:numPr>
          <w:ilvl w:val="0"/>
          <w:numId w:val="15"/>
        </w:numPr>
        <w:ind w:left="1134" w:firstLine="567"/>
      </w:pPr>
      <w:r w:rsidRPr="006B4E25">
        <w:t>p</w:t>
      </w:r>
      <w:r w:rsidR="00584594" w:rsidRPr="006B4E25">
        <w:t xml:space="preserve">riznati pravico ljudi z invalidnostmi </w:t>
      </w:r>
      <w:r w:rsidR="00E11997" w:rsidRPr="006B4E25">
        <w:t xml:space="preserve">da imajo </w:t>
      </w:r>
      <w:r w:rsidR="00584594" w:rsidRPr="006B4E25">
        <w:t xml:space="preserve"> dostop do sindikatov.</w:t>
      </w:r>
    </w:p>
    <w:p w14:paraId="07231BAC" w14:textId="19DD9492" w:rsidR="005545DB" w:rsidRPr="006B4E25" w:rsidRDefault="00584594">
      <w:pPr>
        <w:pStyle w:val="H1G"/>
      </w:pPr>
      <w:r w:rsidRPr="006B4E25">
        <w:tab/>
        <w:t>N.</w:t>
      </w:r>
      <w:r w:rsidRPr="006B4E25">
        <w:tab/>
        <w:t>Člen 28 o ustrezni življenjski ravni in socialnem varstvu</w:t>
      </w:r>
    </w:p>
    <w:p w14:paraId="07231BAE" w14:textId="7EBF3363" w:rsidR="005545DB" w:rsidRPr="006B4E25" w:rsidRDefault="00584594">
      <w:pPr>
        <w:pStyle w:val="SingleTxtG"/>
        <w:numPr>
          <w:ilvl w:val="0"/>
          <w:numId w:val="4"/>
        </w:numPr>
        <w:ind w:left="1134" w:firstLine="0"/>
      </w:pPr>
      <w:r w:rsidRPr="006B4E25">
        <w:t xml:space="preserve">Kot je navedeno v 59. odstavku Splošne pripombe Odbora št. 3, je revščina tako dodatni </w:t>
      </w:r>
      <w:r w:rsidR="00EC311A" w:rsidRPr="006B4E25">
        <w:t xml:space="preserve">oteževalni </w:t>
      </w:r>
      <w:r w:rsidRPr="006B4E25">
        <w:t xml:space="preserve">dejavnik kot tudi posledica večkratne diskriminacije. Neizpolnjevanje pravice ljudi z invalidnostmi do </w:t>
      </w:r>
      <w:r w:rsidRPr="00B11331">
        <w:t xml:space="preserve">ustrezne življenjske </w:t>
      </w:r>
      <w:r w:rsidR="00EC311A" w:rsidRPr="00B11331">
        <w:t>ravni</w:t>
      </w:r>
      <w:r w:rsidR="00EC311A" w:rsidRPr="006B4E25">
        <w:t xml:space="preserve"> </w:t>
      </w:r>
      <w:r w:rsidRPr="006B4E25">
        <w:t xml:space="preserve">zanje in za njihove družine je v nasprotju s cilji Konvencije. </w:t>
      </w:r>
      <w:r w:rsidR="00B47D68" w:rsidRPr="006B4E25">
        <w:t xml:space="preserve">Tako </w:t>
      </w:r>
      <w:r w:rsidRPr="006B4E25">
        <w:t xml:space="preserve">neizpolnjevanje je še posebej zaskrbljujoče za ljudi z invalidnostmi, ki živijo v skrajni revščini ali v pomanjkanju. Ljudje z invalidnostmi imajo </w:t>
      </w:r>
      <w:r w:rsidR="00082DF6" w:rsidRPr="006B4E25">
        <w:t xml:space="preserve">za </w:t>
      </w:r>
      <w:r w:rsidRPr="006B4E25">
        <w:t>doseganjem ustreznega življenjskega standarda, ki bi bil primerljiv z življenjskim standardom drugih ljudi</w:t>
      </w:r>
      <w:r w:rsidR="00082DF6" w:rsidRPr="006B4E25">
        <w:t xml:space="preserve"> običajno dodatne stroške</w:t>
      </w:r>
      <w:r w:rsidRPr="006B4E25">
        <w:t xml:space="preserve">. To </w:t>
      </w:r>
      <w:r w:rsidR="00082DF6" w:rsidRPr="006B4E25">
        <w:t xml:space="preserve">pomeni </w:t>
      </w:r>
      <w:r w:rsidRPr="006B4E25">
        <w:t xml:space="preserve"> </w:t>
      </w:r>
      <w:r w:rsidR="00082DF6" w:rsidRPr="006B4E25">
        <w:t xml:space="preserve">posebno neugoden položaj (prikrajšanost) </w:t>
      </w:r>
      <w:r w:rsidRPr="006B4E25">
        <w:t xml:space="preserve">za otroke ali starejše ženske z invalidnostmi, ki živijo v skrajni revščini in v pomanjkanju. Države pogodbenice bi morale sprejeti učinkovite ukrepe, s katerimi bi osebam z invalidnostmi omogočile plačilo dodatnih stroškov, povezanih z invalidnostjo. Države </w:t>
      </w:r>
      <w:r w:rsidRPr="006B4E25">
        <w:lastRenderedPageBreak/>
        <w:t>pogodbenice morajo sprejeti takojšnje ukrepe, da ljudem z invalidnostmi, ki živijo v skrajni revščini in v pomanjkanju, zagotovijo osnovni minimum v smislu ustrezne hrane, oblačil in stanovanj</w:t>
      </w:r>
      <w:r w:rsidRPr="006B4E25">
        <w:rPr>
          <w:rStyle w:val="Sprotnaopomba-sklic"/>
        </w:rPr>
        <w:footnoteReference w:id="19"/>
      </w:r>
      <w:r w:rsidRPr="006B4E25">
        <w:t>.</w:t>
      </w:r>
      <w:r w:rsidRPr="006B4E25">
        <w:rPr>
          <w:rStyle w:val="Sprotnaopomba-sklic"/>
        </w:rPr>
        <w:t xml:space="preserve"> </w:t>
      </w:r>
      <w:r w:rsidRPr="006B4E25">
        <w:t xml:space="preserve">Kar zadeva socialno zaščito, se od držav pogodbenic nadalje zahteva, da uvedejo osnovno spodnjo mejo zaščite. </w:t>
      </w:r>
    </w:p>
    <w:p w14:paraId="07231BAF" w14:textId="1EBB70B4" w:rsidR="005545DB" w:rsidRPr="006B4E25" w:rsidRDefault="00584594">
      <w:pPr>
        <w:pStyle w:val="H1G"/>
      </w:pPr>
      <w:r w:rsidRPr="006B4E25">
        <w:tab/>
        <w:t>O.</w:t>
      </w:r>
      <w:r w:rsidRPr="006B4E25">
        <w:tab/>
        <w:t>Člen 29 o sodelovanju v političnem in javnem življenju</w:t>
      </w:r>
    </w:p>
    <w:p w14:paraId="07231BB0" w14:textId="718A5D49" w:rsidR="005545DB" w:rsidRPr="006B4E25" w:rsidRDefault="00584594">
      <w:pPr>
        <w:pStyle w:val="SingleTxtG"/>
        <w:numPr>
          <w:ilvl w:val="0"/>
          <w:numId w:val="4"/>
        </w:numPr>
        <w:ind w:left="1134" w:firstLine="0"/>
      </w:pPr>
      <w:r w:rsidRPr="006B4E25">
        <w:t>Izključenost iz volilnih procesov in drugih oblik sodel</w:t>
      </w:r>
      <w:r w:rsidR="00B0594E" w:rsidRPr="006B4E25">
        <w:t>ovanja v političnem življenju je pogost primer</w:t>
      </w:r>
      <w:r w:rsidRPr="006B4E25">
        <w:t xml:space="preserve"> diskriminacije zaradi invalidnosti. Pogosto </w:t>
      </w:r>
      <w:r w:rsidR="00B0594E" w:rsidRPr="006B4E25">
        <w:t>je tesno povezana</w:t>
      </w:r>
      <w:r w:rsidRPr="006B4E25">
        <w:t xml:space="preserve"> z zanikanjem ali omejevanjem pravne </w:t>
      </w:r>
      <w:r w:rsidR="00082DF6" w:rsidRPr="006B4E25">
        <w:t xml:space="preserve">(poslovne in drugih oblik) </w:t>
      </w:r>
      <w:r w:rsidRPr="006B4E25">
        <w:t>sposobnosti. Države pogodbenice bi si morale prizadevati za</w:t>
      </w:r>
      <w:r w:rsidR="004A2267" w:rsidRPr="006B4E25">
        <w:t xml:space="preserve"> oz. zagotoviti</w:t>
      </w:r>
      <w:r w:rsidRPr="006B4E25">
        <w:t>:</w:t>
      </w:r>
    </w:p>
    <w:p w14:paraId="07231BB1" w14:textId="1B6A6E7F" w:rsidR="005545DB" w:rsidRPr="006B4E25" w:rsidRDefault="00B0594E">
      <w:pPr>
        <w:pStyle w:val="SingleTxtG"/>
        <w:numPr>
          <w:ilvl w:val="0"/>
          <w:numId w:val="17"/>
        </w:numPr>
        <w:ind w:left="1134" w:firstLine="567"/>
      </w:pPr>
      <w:r w:rsidRPr="006B4E25">
        <w:t>r</w:t>
      </w:r>
      <w:r w:rsidR="00584594" w:rsidRPr="006B4E25">
        <w:t>eformo zakonov, politik in predpisov, ki</w:t>
      </w:r>
      <w:r w:rsidRPr="006B4E25">
        <w:t xml:space="preserve"> sistematično izključujejo ljud</w:t>
      </w:r>
      <w:r w:rsidR="00584594" w:rsidRPr="006B4E25">
        <w:t xml:space="preserve">i z invalidnostmi </w:t>
      </w:r>
      <w:r w:rsidR="00620B7D" w:rsidRPr="006B4E25">
        <w:t>od</w:t>
      </w:r>
      <w:r w:rsidR="00584594" w:rsidRPr="006B4E25">
        <w:t xml:space="preserve"> glasovanja in/ali kandidiranja na volitvah; </w:t>
      </w:r>
    </w:p>
    <w:p w14:paraId="07231BB2" w14:textId="47A1E04A" w:rsidR="005545DB" w:rsidRPr="006B4E25" w:rsidRDefault="00584594">
      <w:pPr>
        <w:pStyle w:val="SingleTxtG"/>
        <w:numPr>
          <w:ilvl w:val="0"/>
          <w:numId w:val="17"/>
        </w:numPr>
        <w:ind w:left="1134" w:firstLine="567"/>
      </w:pPr>
      <w:r w:rsidRPr="006B4E25">
        <w:t>da je volilni postopek dostopen vsem ljudem z invalidnostmi, tudi pred volitvami, med njimi in po njih;</w:t>
      </w:r>
    </w:p>
    <w:p w14:paraId="07231BB3" w14:textId="5D1DB908" w:rsidR="005545DB" w:rsidRPr="006B4E25" w:rsidRDefault="00584594">
      <w:pPr>
        <w:pStyle w:val="SingleTxtG"/>
        <w:numPr>
          <w:ilvl w:val="0"/>
          <w:numId w:val="17"/>
        </w:numPr>
        <w:ind w:left="1134" w:firstLine="567"/>
      </w:pPr>
      <w:r w:rsidRPr="006B4E25">
        <w:t>da so posameznikom z invalidnostmi zagotovljene razumne prilagoditve in podporni ukrepi, za sodelovanje v političnem in javnem življenju</w:t>
      </w:r>
      <w:r w:rsidR="00620B7D" w:rsidRPr="006B4E25">
        <w:t>, ki temeljijo na individualnih zahtevah (potrebah) ljudi z invalidnostmi</w:t>
      </w:r>
      <w:r w:rsidRPr="006B4E25">
        <w:t xml:space="preserve">; </w:t>
      </w:r>
    </w:p>
    <w:p w14:paraId="07231BB4" w14:textId="58504467" w:rsidR="005545DB" w:rsidRPr="006B4E25" w:rsidRDefault="004A2267">
      <w:pPr>
        <w:pStyle w:val="SingleTxtG"/>
        <w:numPr>
          <w:ilvl w:val="0"/>
          <w:numId w:val="17"/>
        </w:numPr>
        <w:ind w:left="1134" w:firstLine="567"/>
      </w:pPr>
      <w:r w:rsidRPr="006B4E25">
        <w:t>p</w:t>
      </w:r>
      <w:r w:rsidR="00584594" w:rsidRPr="006B4E25">
        <w:t xml:space="preserve">odpirati delovanje reprezentativnih organizacij ljudi z invalidnostmi ter sodelovati s takšnimi </w:t>
      </w:r>
      <w:r w:rsidR="00620B7D" w:rsidRPr="006B4E25">
        <w:t xml:space="preserve">organizacijami </w:t>
      </w:r>
      <w:r w:rsidR="00584594" w:rsidRPr="006B4E25">
        <w:t>v procesih politične participacije na nacionalni, regionalni in mednarodni ravni, kar vključuje tudi posvetovanje s takšnimi organizacijami o zadevah, ki neposredno zadevajo ljudi z invalidnostmi;</w:t>
      </w:r>
    </w:p>
    <w:p w14:paraId="07231BB5" w14:textId="7AFAE2AA" w:rsidR="005545DB" w:rsidRPr="006B4E25" w:rsidRDefault="004A2267">
      <w:pPr>
        <w:pStyle w:val="SingleTxtG"/>
        <w:numPr>
          <w:ilvl w:val="0"/>
          <w:numId w:val="17"/>
        </w:numPr>
        <w:ind w:left="1134" w:firstLine="567"/>
      </w:pPr>
      <w:r w:rsidRPr="006B4E25">
        <w:t>u</w:t>
      </w:r>
      <w:r w:rsidR="00584594" w:rsidRPr="006B4E25">
        <w:t xml:space="preserve">stvarjanje informacijskih sistemov in zakonodaje, ki omogočajo stalno politično udeležbo ljudi z invalidnostmi, tudi </w:t>
      </w:r>
      <w:r w:rsidR="00620B7D" w:rsidRPr="006B4E25">
        <w:t xml:space="preserve">v času </w:t>
      </w:r>
      <w:r w:rsidR="00584594" w:rsidRPr="006B4E25">
        <w:t xml:space="preserve">med </w:t>
      </w:r>
      <w:r w:rsidR="00620B7D" w:rsidRPr="006B4E25">
        <w:t xml:space="preserve">posameznimi </w:t>
      </w:r>
      <w:r w:rsidR="00584594" w:rsidRPr="006B4E25">
        <w:t>volitvami.</w:t>
      </w:r>
    </w:p>
    <w:p w14:paraId="07231BB6" w14:textId="376047CF" w:rsidR="005545DB" w:rsidRPr="006B4E25" w:rsidRDefault="00584594">
      <w:pPr>
        <w:pStyle w:val="H1G"/>
      </w:pPr>
      <w:r w:rsidRPr="006B4E25">
        <w:tab/>
        <w:t>P.</w:t>
      </w:r>
      <w:r w:rsidRPr="006B4E25">
        <w:tab/>
        <w:t>Člen 31 o statistiki in zbiranju podatkov</w:t>
      </w:r>
    </w:p>
    <w:p w14:paraId="07231BB7" w14:textId="15DF4F3F" w:rsidR="005545DB" w:rsidRPr="006B4E25" w:rsidRDefault="00584594">
      <w:pPr>
        <w:pStyle w:val="SingleTxtG"/>
        <w:numPr>
          <w:ilvl w:val="0"/>
          <w:numId w:val="4"/>
        </w:numPr>
        <w:ind w:left="1134" w:firstLine="0"/>
      </w:pPr>
      <w:r w:rsidRPr="006B4E25">
        <w:t xml:space="preserve">Zbiranje in analiza podatkov sta bistvena ukrepa za spremljanje </w:t>
      </w:r>
      <w:proofErr w:type="spellStart"/>
      <w:r w:rsidR="00620B7D" w:rsidRPr="006B4E25">
        <w:t>nediskriminacijskih</w:t>
      </w:r>
      <w:proofErr w:type="spellEnd"/>
      <w:r w:rsidR="00620B7D" w:rsidRPr="006B4E25">
        <w:t xml:space="preserve"> </w:t>
      </w:r>
      <w:r w:rsidRPr="006B4E25">
        <w:t>politik in zakonov. Države pogodbenice bi morale zbirati in analizirati podatke, ki jih je treba nato razčleniti na podlagi invalidnosti in presečnih kategorij. Podatki naj bi podajali informacije o vseh oblikah diskriminacije. Zbrani podatki bi morali biti široko zastavljeni in zajemati statistiko, pripovedi in druge oblike podatkov, kot so kazalniki za ocenjevanje izvajanja ter spremljanje napredka in učinkovitosti pobud in politik</w:t>
      </w:r>
      <w:r w:rsidR="00C451DC" w:rsidRPr="006B4E25">
        <w:t>, tako novih kot tistih ki so</w:t>
      </w:r>
      <w:r w:rsidRPr="006B4E25">
        <w:t xml:space="preserve"> v teku. Kazalnike, ki vključujejo ljudi z invalidnostmi, je treba razviti in uporabljati na način, ki je skladen z </w:t>
      </w:r>
      <w:r w:rsidR="00C451DC" w:rsidRPr="006B4E25">
        <w:t xml:space="preserve">Agendo </w:t>
      </w:r>
      <w:r w:rsidRPr="006B4E25">
        <w:t xml:space="preserve">za trajnostni razvoj do leta 2030. Oblikovanje, zbiranje in analiza podatkov se morajo odvijati na sodelovalni ravni, tj. v tesnem in smiselnem posvetovanju z reprezentativnimi organizacijami ljudi z invalidnostmi. Raziskave in študije, v okviru katerih se zbirajo podatki, pogosto spregledajo osebe </w:t>
      </w:r>
      <w:r w:rsidR="00C451DC" w:rsidRPr="006B4E25">
        <w:t>z invalidnostmi</w:t>
      </w:r>
      <w:r w:rsidRPr="006B4E25">
        <w:t xml:space="preserve">, vključno z otroki, ki živijo v zaprtih prostorih, kot so ustanove ali psihiatrične bolnišnice. V takšne študije jih je treba sistematično vključiti. </w:t>
      </w:r>
    </w:p>
    <w:p w14:paraId="419DDA46" w14:textId="39281E26" w:rsidR="005545DB" w:rsidRPr="006B4E25" w:rsidRDefault="00584594">
      <w:pPr>
        <w:pStyle w:val="H1G"/>
      </w:pPr>
      <w:r w:rsidRPr="006B4E25">
        <w:tab/>
        <w:t>Q.</w:t>
      </w:r>
      <w:r w:rsidRPr="006B4E25">
        <w:tab/>
        <w:t>Člen 32 o mednarodnem sodelovanju</w:t>
      </w:r>
    </w:p>
    <w:p w14:paraId="0B0BBCB6" w14:textId="4E55EF88" w:rsidR="005545DB" w:rsidRPr="006B4E25" w:rsidRDefault="00584594">
      <w:pPr>
        <w:pStyle w:val="SingleTxtG"/>
        <w:numPr>
          <w:ilvl w:val="0"/>
          <w:numId w:val="4"/>
        </w:numPr>
        <w:ind w:left="1134" w:firstLine="0"/>
      </w:pPr>
      <w:r w:rsidRPr="006B4E25">
        <w:t xml:space="preserve">Vsa prizadevanja za mednarodno sodelovanje, vključno z </w:t>
      </w:r>
      <w:r w:rsidR="00C451DC" w:rsidRPr="006B4E25">
        <w:t xml:space="preserve">Agendo </w:t>
      </w:r>
      <w:r w:rsidRPr="006B4E25">
        <w:t xml:space="preserve">za trajnostni razvoj do leta 2030, morajo vključevati ljudi z invalidnostmi in biti dostopna zanje, pri tem pa morajo upoštevati Konvencijo. Države pogodbenice morajo razviti okvire spremljanja s kazalniki človekovih pravic ter posebna merila in cilje za vsak kazalnik v skladu s </w:t>
      </w:r>
      <w:r w:rsidR="00C451DC" w:rsidRPr="006B4E25">
        <w:t xml:space="preserve">Ciljem </w:t>
      </w:r>
      <w:r w:rsidRPr="006B4E25">
        <w:t xml:space="preserve">trajnostnega razvoja št. 10. Vse mednarodno sodelovanje mora biti usmerjeno v napredek </w:t>
      </w:r>
      <w:r w:rsidR="00215952" w:rsidRPr="006B4E25">
        <w:t xml:space="preserve">nediskriminacije </w:t>
      </w:r>
      <w:r w:rsidRPr="006B4E25">
        <w:t xml:space="preserve">zakonodaje in politik, ki si prizadevajo za popolno </w:t>
      </w:r>
      <w:r w:rsidR="00215952" w:rsidRPr="006B4E25">
        <w:t xml:space="preserve">vključenost </w:t>
      </w:r>
      <w:r w:rsidRPr="006B4E25">
        <w:t xml:space="preserve">v skladu s Konvencijo in </w:t>
      </w:r>
      <w:r w:rsidR="00215952" w:rsidRPr="006B4E25">
        <w:t xml:space="preserve">Agendo </w:t>
      </w:r>
      <w:r w:rsidRPr="006B4E25">
        <w:t>za trajnostni razvoj do leta 2030 ter drugimi povezanimi mednarodnimi okviri za človekove pravice.</w:t>
      </w:r>
    </w:p>
    <w:p w14:paraId="07231BB8" w14:textId="77777777" w:rsidR="005545DB" w:rsidRPr="006B4E25" w:rsidRDefault="00584594">
      <w:pPr>
        <w:pStyle w:val="HChG"/>
      </w:pPr>
      <w:r w:rsidRPr="006B4E25">
        <w:lastRenderedPageBreak/>
        <w:tab/>
        <w:t>VIII.</w:t>
      </w:r>
      <w:r w:rsidRPr="006B4E25">
        <w:tab/>
        <w:t xml:space="preserve">Izvajanje na nacionalni ravni </w:t>
      </w:r>
    </w:p>
    <w:p w14:paraId="07231BB9" w14:textId="77777777" w:rsidR="005545DB" w:rsidRPr="006B4E25" w:rsidRDefault="00584594">
      <w:pPr>
        <w:pStyle w:val="SingleTxtG"/>
        <w:numPr>
          <w:ilvl w:val="0"/>
          <w:numId w:val="4"/>
        </w:numPr>
        <w:ind w:left="1134" w:firstLine="0"/>
      </w:pPr>
      <w:r w:rsidRPr="006B4E25">
        <w:t>Glede na zgoraj navedeno normativno vsebino in obveznosti morajo države pogodbenice sprejeti naslednje ukrepe za zagotovitev popolnega izvajanja člena 5 Konvencije:</w:t>
      </w:r>
    </w:p>
    <w:p w14:paraId="07231BBA" w14:textId="1E0022C9" w:rsidR="005545DB" w:rsidRPr="006B4E25" w:rsidRDefault="00584594">
      <w:pPr>
        <w:pStyle w:val="SingleTxtG"/>
        <w:numPr>
          <w:ilvl w:val="0"/>
          <w:numId w:val="18"/>
        </w:numPr>
        <w:ind w:left="1134" w:firstLine="567"/>
      </w:pPr>
      <w:r w:rsidRPr="006B4E25">
        <w:t xml:space="preserve">Izvajati </w:t>
      </w:r>
      <w:r w:rsidR="005A17B5" w:rsidRPr="006B4E25">
        <w:t xml:space="preserve">morajo </w:t>
      </w:r>
      <w:r w:rsidRPr="006B4E25">
        <w:t xml:space="preserve">študije o usklajevanju nacionalne zakonodaje in praks s Konvencijo, razveljaviti </w:t>
      </w:r>
      <w:proofErr w:type="spellStart"/>
      <w:r w:rsidRPr="006B4E25">
        <w:t>diskriminatorne</w:t>
      </w:r>
      <w:proofErr w:type="spellEnd"/>
      <w:r w:rsidRPr="006B4E25">
        <w:t xml:space="preserve"> zakone in predpise, ki niso v skladu s Konvencijo, ter spremeniti ali odpraviti navade in prakse, ki so </w:t>
      </w:r>
      <w:proofErr w:type="spellStart"/>
      <w:r w:rsidRPr="006B4E25">
        <w:t>diskriminatorne</w:t>
      </w:r>
      <w:proofErr w:type="spellEnd"/>
      <w:r w:rsidRPr="006B4E25">
        <w:t xml:space="preserve"> do lju</w:t>
      </w:r>
      <w:r w:rsidR="005A17B5" w:rsidRPr="006B4E25">
        <w:t>di z invalidnostmi.</w:t>
      </w:r>
      <w:r w:rsidRPr="006B4E25">
        <w:t xml:space="preserve"> </w:t>
      </w:r>
    </w:p>
    <w:p w14:paraId="07231BBB" w14:textId="51A75D1C" w:rsidR="005545DB" w:rsidRPr="006B4E25" w:rsidRDefault="00584594">
      <w:pPr>
        <w:pStyle w:val="SingleTxtG"/>
        <w:numPr>
          <w:ilvl w:val="0"/>
          <w:numId w:val="18"/>
        </w:numPr>
        <w:ind w:left="1134" w:firstLine="567"/>
      </w:pPr>
      <w:r w:rsidRPr="006B4E25">
        <w:t xml:space="preserve">Razviti </w:t>
      </w:r>
      <w:r w:rsidR="005A17B5" w:rsidRPr="006B4E25">
        <w:t>morajo</w:t>
      </w:r>
      <w:r w:rsidR="00215952" w:rsidRPr="006B4E25">
        <w:t xml:space="preserve"> </w:t>
      </w:r>
      <w:proofErr w:type="spellStart"/>
      <w:r w:rsidR="00215952" w:rsidRPr="006B4E25">
        <w:t>nediskriminacijske</w:t>
      </w:r>
      <w:proofErr w:type="spellEnd"/>
      <w:r w:rsidR="005A17B5" w:rsidRPr="006B4E25">
        <w:t xml:space="preserve"> </w:t>
      </w:r>
      <w:r w:rsidRPr="006B4E25">
        <w:t xml:space="preserve">zakone, če ti še ne obstajajo, in sprejeti </w:t>
      </w:r>
      <w:r w:rsidR="00215952" w:rsidRPr="006B4E25">
        <w:t xml:space="preserve">take </w:t>
      </w:r>
      <w:r w:rsidRPr="006B4E25">
        <w:t>zakone, ki bodo vključujoče obravnavali ljudi z invalidnostmi, ki bodo imeli široko osebno</w:t>
      </w:r>
      <w:r w:rsidR="00215952" w:rsidRPr="006B4E25">
        <w:t xml:space="preserve"> (personalno)</w:t>
      </w:r>
      <w:r w:rsidRPr="006B4E25">
        <w:t xml:space="preserve"> in materialno področje uporabe ter ki bodo zagotavljali učinkovita pravna sredstva. Takšni zakoni so lahko učinkoviti le, če temeljijo na opredelitvi invalidnosti, ki vključuje posameznike z dolgotrajnimi telesnimi </w:t>
      </w:r>
      <w:r w:rsidR="00215952" w:rsidRPr="006B4E25">
        <w:t>okvarami</w:t>
      </w:r>
      <w:r w:rsidRPr="006B4E25">
        <w:t xml:space="preserve">, vključno s psihosocialnimi, intelektualnimi ali senzoričnimi </w:t>
      </w:r>
      <w:r w:rsidR="00215952" w:rsidRPr="006B4E25">
        <w:t>okvarami</w:t>
      </w:r>
      <w:r w:rsidRPr="006B4E25">
        <w:t xml:space="preserve">, in ki bi morala vključevati tudi </w:t>
      </w:r>
      <w:r w:rsidR="00215952" w:rsidRPr="006B4E25">
        <w:t xml:space="preserve">osebe </w:t>
      </w:r>
      <w:r w:rsidRPr="006B4E25">
        <w:t xml:space="preserve">s preteklo, trenutno, prihodnjo in domnevno invalidnostjo ter </w:t>
      </w:r>
      <w:r w:rsidR="00215952" w:rsidRPr="006B4E25">
        <w:t>osebe</w:t>
      </w:r>
      <w:r w:rsidRPr="006B4E25">
        <w:t xml:space="preserve">, povezane s posamezniki z invalidnostjo. Osebe, ki so žrtve diskriminacije na podlagi invalidnosti in iščejo pravno varstvo, ne bi smele biti obremenjene </w:t>
      </w:r>
      <w:r w:rsidR="005A17B5" w:rsidRPr="006B4E25">
        <w:t>z dokazovanjem tega</w:t>
      </w:r>
      <w:r w:rsidRPr="006B4E25">
        <w:t xml:space="preserve">, da imajo "dovolj invalidnosti", da bi lahko izkoristile zaščito zakona. </w:t>
      </w:r>
      <w:proofErr w:type="spellStart"/>
      <w:r w:rsidR="004E23DC" w:rsidRPr="006B4E25">
        <w:t>Nediskriminacijska</w:t>
      </w:r>
      <w:proofErr w:type="spellEnd"/>
      <w:r w:rsidR="004E23DC" w:rsidRPr="006B4E25">
        <w:t xml:space="preserve"> zakonodaja</w:t>
      </w:r>
      <w:r w:rsidRPr="006B4E25">
        <w:t xml:space="preserve">, ki v odnosu do ljudi z invalidnostmi deluje na vključujoč način, si prizadeva prepovedati in preprečiti diskriminatorno dejanje ter ni ciljno usmerjena </w:t>
      </w:r>
      <w:r w:rsidR="004E23DC" w:rsidRPr="006B4E25">
        <w:t>le v zaščito opredeljene zaščitene skupine</w:t>
      </w:r>
      <w:r w:rsidRPr="006B4E25">
        <w:t>. V zvezi s tem je široka, z okvaro povezana opredelitev inv</w:t>
      </w:r>
      <w:r w:rsidR="00FC0EE2" w:rsidRPr="006B4E25">
        <w:t>alidnosti v skladu s Konvencijo.</w:t>
      </w:r>
    </w:p>
    <w:p w14:paraId="07231BBC" w14:textId="5ABF78B6" w:rsidR="005545DB" w:rsidRPr="006B4E25" w:rsidRDefault="00584594">
      <w:pPr>
        <w:pStyle w:val="SingleTxtG"/>
        <w:numPr>
          <w:ilvl w:val="0"/>
          <w:numId w:val="18"/>
        </w:numPr>
        <w:ind w:left="1134" w:firstLine="567"/>
      </w:pPr>
      <w:r w:rsidRPr="006B4E25">
        <w:t>Zagotoviti</w:t>
      </w:r>
      <w:r w:rsidR="00FC0EE2" w:rsidRPr="006B4E25">
        <w:t xml:space="preserve"> morajo</w:t>
      </w:r>
      <w:r w:rsidRPr="006B4E25">
        <w:t xml:space="preserve">, da </w:t>
      </w:r>
      <w:proofErr w:type="spellStart"/>
      <w:r w:rsidR="004E23DC" w:rsidRPr="006B4E25">
        <w:t>nediskriminacijska</w:t>
      </w:r>
      <w:proofErr w:type="spellEnd"/>
      <w:r w:rsidR="004E23DC" w:rsidRPr="006B4E25">
        <w:t xml:space="preserve"> </w:t>
      </w:r>
      <w:r w:rsidRPr="006B4E25">
        <w:t xml:space="preserve">zakonodaja </w:t>
      </w:r>
      <w:r w:rsidR="004E23DC" w:rsidRPr="006B4E25">
        <w:t xml:space="preserve">velja </w:t>
      </w:r>
      <w:r w:rsidRPr="006B4E25">
        <w:t xml:space="preserve">zasebno in javno sfero, zajema področja, ki vključujejo izobraževanje, zaposlovanje, blago in storitve, ter obravnava </w:t>
      </w:r>
      <w:r w:rsidR="0008466F" w:rsidRPr="006B4E25">
        <w:t xml:space="preserve">značilno </w:t>
      </w:r>
      <w:r w:rsidRPr="006B4E25">
        <w:t xml:space="preserve">diskriminacijo v zvezi z invalidnostjo, kot so </w:t>
      </w:r>
      <w:proofErr w:type="spellStart"/>
      <w:r w:rsidR="0008466F" w:rsidRPr="006B4E25">
        <w:t>segregirano</w:t>
      </w:r>
      <w:proofErr w:type="spellEnd"/>
      <w:r w:rsidR="0008466F" w:rsidRPr="006B4E25">
        <w:t xml:space="preserve"> </w:t>
      </w:r>
      <w:r w:rsidRPr="006B4E25">
        <w:t xml:space="preserve">izobraževanje, institucionalizacija, zanikanje ali omejevanje pravne </w:t>
      </w:r>
      <w:r w:rsidR="0008466F" w:rsidRPr="006B4E25">
        <w:t xml:space="preserve">(posloven in drugih oblik) </w:t>
      </w:r>
      <w:r w:rsidRPr="006B4E25">
        <w:t>sposobnosti, prisilno zdravljenje težav na področju duševnega zdravja, zanikanje zagotavljanja navodil v znakovnem jeziku in strokovnega tolmačenja znakovnega jezika ter zanikanje zagotavljanja Braillove pisave ali drugih alternativnih in dopolnilnih načinov, sr</w:t>
      </w:r>
      <w:r w:rsidR="00FC0EE2" w:rsidRPr="006B4E25">
        <w:t>edstev in oblik komunikacije.</w:t>
      </w:r>
    </w:p>
    <w:p w14:paraId="07231BBD" w14:textId="081BF3DF" w:rsidR="005545DB" w:rsidRPr="006B4E25" w:rsidRDefault="00584594">
      <w:pPr>
        <w:pStyle w:val="SingleTxtG"/>
        <w:numPr>
          <w:ilvl w:val="0"/>
          <w:numId w:val="18"/>
        </w:numPr>
        <w:ind w:left="1134" w:firstLine="567"/>
      </w:pPr>
      <w:r w:rsidRPr="006B4E25">
        <w:t xml:space="preserve">Spodbujati </w:t>
      </w:r>
      <w:r w:rsidR="00FC0EE2" w:rsidRPr="006B4E25">
        <w:t xml:space="preserve">morajo </w:t>
      </w:r>
      <w:r w:rsidRPr="006B4E25">
        <w:t>polno vključenost osnovnih storitev zaposlovanja in poklicnega usposabljanja, vključno s tistimi, ki spodbujajo podjetništvo ter podpirajo ustanavljanje zadrug in drugi</w:t>
      </w:r>
      <w:r w:rsidR="00FC0EE2" w:rsidRPr="006B4E25">
        <w:t>h oblik socialnega gospodarstva.</w:t>
      </w:r>
    </w:p>
    <w:p w14:paraId="07231BBE" w14:textId="25EB2AF9" w:rsidR="005545DB" w:rsidRPr="006B4E25" w:rsidRDefault="00584594">
      <w:pPr>
        <w:pStyle w:val="SingleTxtG"/>
        <w:numPr>
          <w:ilvl w:val="0"/>
          <w:numId w:val="18"/>
        </w:numPr>
        <w:ind w:left="1134" w:firstLine="567"/>
      </w:pPr>
      <w:r w:rsidRPr="006B4E25">
        <w:t>Zagotoviti</w:t>
      </w:r>
      <w:r w:rsidR="00FC0EE2" w:rsidRPr="006B4E25">
        <w:t xml:space="preserve"> morajo</w:t>
      </w:r>
      <w:r w:rsidRPr="006B4E25">
        <w:t>, da ima varstvo ljudi z invalidnostmi pred diskriminacijo enak standard kot varstvo drugih družbe</w:t>
      </w:r>
      <w:r w:rsidR="00FC0EE2" w:rsidRPr="006B4E25">
        <w:t>nih skupin pred diskriminacijo.</w:t>
      </w:r>
    </w:p>
    <w:p w14:paraId="07231BBF" w14:textId="4A01A177" w:rsidR="005545DB" w:rsidRPr="006B4E25" w:rsidRDefault="00584594">
      <w:pPr>
        <w:pStyle w:val="SingleTxtG"/>
        <w:numPr>
          <w:ilvl w:val="0"/>
          <w:numId w:val="18"/>
        </w:numPr>
        <w:ind w:left="1134" w:firstLine="567"/>
      </w:pPr>
      <w:r w:rsidRPr="006B4E25">
        <w:t xml:space="preserve">Razviti in izvajati </w:t>
      </w:r>
      <w:r w:rsidR="00FC0EE2" w:rsidRPr="006B4E25">
        <w:t xml:space="preserve">morajo </w:t>
      </w:r>
      <w:r w:rsidRPr="006B4E25">
        <w:t>programe znanja in krepitve zmogljivosti, vključno z usposabljanjem v javnih organih in sivi ekonomiji, da se zagotovi skladnost s Konvencijo. Ozaveščanje in krepitev zmogljivosti je treba razvijati in izvajati s smiselno udeležbo ljudi z invalidnostmi in organizacij, ki predstavljajo raznoliko paleto ljudi z invalidnostmi</w:t>
      </w:r>
      <w:r w:rsidR="0008466F" w:rsidRPr="006B4E25">
        <w:t>;</w:t>
      </w:r>
      <w:r w:rsidRPr="006B4E25">
        <w:t xml:space="preserve"> </w:t>
      </w:r>
      <w:r w:rsidR="004C7100" w:rsidRPr="006B4E25">
        <w:t xml:space="preserve">te  </w:t>
      </w:r>
      <w:r w:rsidRPr="006B4E25">
        <w:t xml:space="preserve">so ključni sestavni deli za vzpostavitev kulture strpnosti in raznolikosti, ki je temelj </w:t>
      </w:r>
      <w:proofErr w:type="spellStart"/>
      <w:r w:rsidR="004C7100" w:rsidRPr="006B4E25">
        <w:t>nediskriminacijske</w:t>
      </w:r>
      <w:proofErr w:type="spellEnd"/>
      <w:r w:rsidR="004C7100" w:rsidRPr="006B4E25">
        <w:t xml:space="preserve"> </w:t>
      </w:r>
      <w:r w:rsidRPr="006B4E25">
        <w:t>zakonodaje in polit</w:t>
      </w:r>
      <w:r w:rsidR="00FC0EE2" w:rsidRPr="006B4E25">
        <w:t>ike.</w:t>
      </w:r>
    </w:p>
    <w:p w14:paraId="07231BC0" w14:textId="2B0FB3F9" w:rsidR="005545DB" w:rsidRPr="006B4E25" w:rsidRDefault="00584594">
      <w:pPr>
        <w:pStyle w:val="SingleTxtG"/>
        <w:numPr>
          <w:ilvl w:val="0"/>
          <w:numId w:val="18"/>
        </w:numPr>
        <w:ind w:left="1134" w:firstLine="567"/>
      </w:pPr>
      <w:r w:rsidRPr="006B4E25">
        <w:t>Spremljati</w:t>
      </w:r>
      <w:r w:rsidR="00FC0EE2" w:rsidRPr="006B4E25">
        <w:t xml:space="preserve"> morajo</w:t>
      </w:r>
      <w:r w:rsidRPr="006B4E25">
        <w:t xml:space="preserve"> število očitkov </w:t>
      </w:r>
      <w:r w:rsidR="004C7100" w:rsidRPr="006B4E25">
        <w:t>o diskriminaciji</w:t>
      </w:r>
      <w:r w:rsidRPr="006B4E25">
        <w:t xml:space="preserve"> </w:t>
      </w:r>
      <w:r w:rsidR="00C46322">
        <w:t>zara</w:t>
      </w:r>
      <w:r w:rsidRPr="006B4E25">
        <w:t xml:space="preserve">di invalidnosti kot delež skupnega števila očitkov, razčlenjenih po spolu, starosti, ugotovljenih ovirah in sektorju, v katerem je prišlo do domnevne diskriminacije. </w:t>
      </w:r>
      <w:r w:rsidR="004C7100" w:rsidRPr="006B4E25">
        <w:t xml:space="preserve">Nuditi </w:t>
      </w:r>
      <w:r w:rsidR="00FC0EE2" w:rsidRPr="006B4E25">
        <w:t>morajo</w:t>
      </w:r>
      <w:r w:rsidRPr="006B4E25">
        <w:t xml:space="preserve"> informacije o zadevah, ki se razrešijo zunaj sodišča ali na sodišču in za katere je izrečena sodba, ter o številu sodb, ki priv</w:t>
      </w:r>
      <w:r w:rsidR="00FC0EE2" w:rsidRPr="006B4E25">
        <w:t>edejo do odškodnine ali sankcij.</w:t>
      </w:r>
    </w:p>
    <w:p w14:paraId="07231BC1" w14:textId="444B3AED" w:rsidR="005545DB" w:rsidRPr="006B4E25" w:rsidRDefault="00584594">
      <w:pPr>
        <w:pStyle w:val="SingleTxtG"/>
        <w:numPr>
          <w:ilvl w:val="0"/>
          <w:numId w:val="18"/>
        </w:numPr>
        <w:ind w:left="1134" w:firstLine="567"/>
      </w:pPr>
      <w:r w:rsidRPr="006B4E25">
        <w:t xml:space="preserve">Vzpostaviti </w:t>
      </w:r>
      <w:r w:rsidR="00FC0EE2" w:rsidRPr="006B4E25">
        <w:t xml:space="preserve">morajo </w:t>
      </w:r>
      <w:r w:rsidRPr="006B4E25">
        <w:t xml:space="preserve">dostopne in učinkovite mehanizme pravnega varstva in zagotoviti dostop do pravnega varstva žrtvam diskriminacije na podlagi invalidnosti </w:t>
      </w:r>
      <w:r w:rsidR="004C7100" w:rsidRPr="006B4E25">
        <w:t>na izenačeni osnovi</w:t>
      </w:r>
      <w:r w:rsidRPr="006B4E25">
        <w:t xml:space="preserve"> kot drugim. To vključuje dostop vseh ljudi z invalidnostmi do učinkovitih sodnih in/ali upravnih postopkov, vključno z učinkovitimi in dostopnimi pritožbenimi mehanizmi, ter do ustrezne in, kjer je to primerno in skladno </w:t>
      </w:r>
      <w:r w:rsidR="00C46322">
        <w:t xml:space="preserve">s </w:t>
      </w:r>
      <w:r w:rsidR="00C46322" w:rsidRPr="006B4E25">
        <w:t>preizkus</w:t>
      </w:r>
      <w:r w:rsidR="00C46322">
        <w:t>om</w:t>
      </w:r>
      <w:r w:rsidR="00C46322" w:rsidRPr="006B4E25">
        <w:t xml:space="preserve"> </w:t>
      </w:r>
      <w:r w:rsidR="00C46322">
        <w:t>meril in utemeljenosti, določenim z zakonom</w:t>
      </w:r>
      <w:r w:rsidRPr="006B4E25">
        <w:t xml:space="preserve">, cenovno dostopne, kakovostne pravne pomoči. Države pogodbenice bi morale učinkovito in pravočasno posredovati v primeru dejanj ali opustitev javnih in zasebnih akterjev, ki kršijo pravico do enakosti in nediskriminacije posameznih ljudi z invalidnostmi in skupin ljudi z invalidnostmi, v zvezi z državljanskimi in političnimi pravicami ter gospodarskimi, socialnimi in kulturnimi pravicami. Priznavanje kolektivnih </w:t>
      </w:r>
      <w:r w:rsidRPr="006B4E25">
        <w:lastRenderedPageBreak/>
        <w:t xml:space="preserve">pravnih sredstev ali </w:t>
      </w:r>
      <w:r w:rsidR="004C7100" w:rsidRPr="006B4E25">
        <w:t xml:space="preserve">kolektivne </w:t>
      </w:r>
      <w:r w:rsidRPr="006B4E25">
        <w:t>tožbe lahko bistveno prispeva k učinkovitemu zagotavljanju dostopa do pravnega varstva v situacijah, ki vplivajo n</w:t>
      </w:r>
      <w:r w:rsidR="00FC0EE2" w:rsidRPr="006B4E25">
        <w:t>a skupine ljudi z invalidnostmi.</w:t>
      </w:r>
      <w:r w:rsidRPr="006B4E25">
        <w:t xml:space="preserve"> </w:t>
      </w:r>
    </w:p>
    <w:p w14:paraId="07231BC2" w14:textId="58BD46B1" w:rsidR="005545DB" w:rsidRPr="006B4E25" w:rsidRDefault="00584594">
      <w:pPr>
        <w:pStyle w:val="SingleTxtG"/>
        <w:numPr>
          <w:ilvl w:val="0"/>
          <w:numId w:val="18"/>
        </w:numPr>
        <w:ind w:left="1134" w:firstLine="567"/>
      </w:pPr>
      <w:r w:rsidRPr="006B4E25">
        <w:t>V nacionalno</w:t>
      </w:r>
      <w:r w:rsidR="003D2702" w:rsidRPr="006B4E25">
        <w:t xml:space="preserve"> </w:t>
      </w:r>
      <w:proofErr w:type="spellStart"/>
      <w:r w:rsidR="003D2702" w:rsidRPr="006B4E25">
        <w:t>nediskriminacijsko</w:t>
      </w:r>
      <w:proofErr w:type="spellEnd"/>
      <w:r w:rsidRPr="006B4E25">
        <w:t xml:space="preserve"> zakonodajo </w:t>
      </w:r>
      <w:r w:rsidR="00FC0EE2" w:rsidRPr="006B4E25">
        <w:t xml:space="preserve">morajo </w:t>
      </w:r>
      <w:r w:rsidRPr="006B4E25">
        <w:t xml:space="preserve">vključiti zaščito posameznikov pred </w:t>
      </w:r>
      <w:r w:rsidR="000A0BB1" w:rsidRPr="006B4E25">
        <w:t xml:space="preserve">neugodnim </w:t>
      </w:r>
      <w:proofErr w:type="spellStart"/>
      <w:r w:rsidR="001F3CFD">
        <w:t>ob</w:t>
      </w:r>
      <w:r w:rsidRPr="006B4E25">
        <w:t>ravnanjem</w:t>
      </w:r>
      <w:proofErr w:type="spellEnd"/>
      <w:r w:rsidRPr="006B4E25">
        <w:t xml:space="preserve"> ali škodljivimi</w:t>
      </w:r>
      <w:r w:rsidR="003D2702" w:rsidRPr="006B4E25">
        <w:t xml:space="preserve"> </w:t>
      </w:r>
      <w:r w:rsidRPr="006B4E25">
        <w:t xml:space="preserve">posledicami kot odziv na pritožbe ali postopke, namenjene zagotavljanju skladnosti z določbami na področju enakosti. </w:t>
      </w:r>
      <w:r w:rsidR="000A0BB1" w:rsidRPr="006B4E25">
        <w:t xml:space="preserve">Nediskriminacijama zakonodaja </w:t>
      </w:r>
      <w:r w:rsidRPr="006B4E25">
        <w:t xml:space="preserve">bi morala tudi zagotoviti, da žrtve diskriminacije niso neupravičeno ovirane pri pridobivanju odškodnine ali </w:t>
      </w:r>
      <w:proofErr w:type="spellStart"/>
      <w:r w:rsidRPr="006B4E25">
        <w:t>reviktimizirane</w:t>
      </w:r>
      <w:proofErr w:type="spellEnd"/>
      <w:r w:rsidR="00C3415A" w:rsidRPr="006B4E25">
        <w:t xml:space="preserve"> (tj</w:t>
      </w:r>
      <w:r w:rsidR="00C46322">
        <w:t>.</w:t>
      </w:r>
      <w:r w:rsidR="00C3415A" w:rsidRPr="006B4E25">
        <w:t xml:space="preserve"> ponovno </w:t>
      </w:r>
      <w:proofErr w:type="spellStart"/>
      <w:r w:rsidR="00C3415A" w:rsidRPr="006B4E25">
        <w:t>viktimizirane</w:t>
      </w:r>
      <w:proofErr w:type="spellEnd"/>
      <w:r w:rsidR="00C3415A" w:rsidRPr="006B4E25">
        <w:t>)</w:t>
      </w:r>
      <w:r w:rsidRPr="006B4E25">
        <w:t xml:space="preserve">. Postopkovna pravila </w:t>
      </w:r>
      <w:r w:rsidR="00C3415A" w:rsidRPr="006B4E25">
        <w:t xml:space="preserve">morajo </w:t>
      </w:r>
      <w:r w:rsidRPr="006B4E25">
        <w:t>prenesti dokazno breme v civilnih postopkih s tožeče stranke na toženo stranko v primerih, ko obstajajo dejstva, na podlagi katerih se lahko domneva,</w:t>
      </w:r>
      <w:r w:rsidR="00FC0EE2" w:rsidRPr="006B4E25">
        <w:t xml:space="preserve"> da je prišlo do diskriminacije.</w:t>
      </w:r>
    </w:p>
    <w:p w14:paraId="07231BC3" w14:textId="1C5FD8A2" w:rsidR="005545DB" w:rsidRPr="006B4E25" w:rsidRDefault="00584594">
      <w:pPr>
        <w:pStyle w:val="SingleTxtG"/>
        <w:numPr>
          <w:ilvl w:val="0"/>
          <w:numId w:val="18"/>
        </w:numPr>
        <w:ind w:left="1134" w:firstLine="567"/>
      </w:pPr>
      <w:r w:rsidRPr="006B4E25">
        <w:t xml:space="preserve">Razviti </w:t>
      </w:r>
      <w:r w:rsidR="00FC0EE2" w:rsidRPr="006B4E25">
        <w:t xml:space="preserve">morajo </w:t>
      </w:r>
      <w:r w:rsidRPr="006B4E25">
        <w:t xml:space="preserve">politiko in strategijo enakosti, ki sta vključujoči in dostopni vsem ljudem z invalidnostmi, v tesnem sodelovanju z organizacijami  ljudi z invalidnostmi, nacionalnimi institucijami za človekove pravice in drugimi ustreznimi zainteresiranimi </w:t>
      </w:r>
      <w:r w:rsidR="00C3415A" w:rsidRPr="006B4E25">
        <w:t>deležniki</w:t>
      </w:r>
      <w:r w:rsidR="00FC0EE2" w:rsidRPr="006B4E25">
        <w:t>, kot so organi za enakost.</w:t>
      </w:r>
    </w:p>
    <w:p w14:paraId="07231BC4" w14:textId="69BB3BFD" w:rsidR="005545DB" w:rsidRPr="006B4E25" w:rsidRDefault="00584594">
      <w:pPr>
        <w:pStyle w:val="SingleTxtG"/>
        <w:numPr>
          <w:ilvl w:val="0"/>
          <w:numId w:val="18"/>
        </w:numPr>
        <w:ind w:left="1134" w:firstLine="567"/>
      </w:pPr>
      <w:r w:rsidRPr="006B4E25">
        <w:t xml:space="preserve">Okrepiti </w:t>
      </w:r>
      <w:r w:rsidR="00FC0EE2" w:rsidRPr="006B4E25">
        <w:t xml:space="preserve">morajo </w:t>
      </w:r>
      <w:r w:rsidRPr="006B4E25">
        <w:t>znanje v vseh delih družbe, vključno med državnimi uradniki vseh vej oblasti in v zasebnem sektorju, o obsegu, vsebini in praktičnih posledicah pravic do nediskriminacije in enako</w:t>
      </w:r>
      <w:r w:rsidR="00FC0EE2" w:rsidRPr="006B4E25">
        <w:t>sti vseh ljudi z invalidnostmi.</w:t>
      </w:r>
    </w:p>
    <w:p w14:paraId="07231BC5" w14:textId="7A61C996" w:rsidR="005545DB" w:rsidRPr="006B4E25" w:rsidRDefault="00584594">
      <w:pPr>
        <w:pStyle w:val="SingleTxtG"/>
        <w:numPr>
          <w:ilvl w:val="0"/>
          <w:numId w:val="18"/>
        </w:numPr>
        <w:ind w:left="1134" w:firstLine="567"/>
      </w:pPr>
      <w:r w:rsidRPr="006B4E25">
        <w:t>Sprejeti</w:t>
      </w:r>
      <w:r w:rsidR="00FC0EE2" w:rsidRPr="006B4E25">
        <w:t xml:space="preserve"> morajo</w:t>
      </w:r>
      <w:r w:rsidRPr="006B4E25">
        <w:t xml:space="preserve"> ustrezne ukrepe za redno in celovito spremljanje vključujoče enakosti. To vključuje zbiranje in analizo razčlenjenih podatkov o</w:t>
      </w:r>
      <w:r w:rsidR="00FC0EE2" w:rsidRPr="006B4E25">
        <w:t xml:space="preserve"> položaju ljudi z invalidnostmi.</w:t>
      </w:r>
    </w:p>
    <w:p w14:paraId="07231BC6" w14:textId="4E8CB60E" w:rsidR="005545DB" w:rsidRPr="006B4E25" w:rsidRDefault="00584594">
      <w:pPr>
        <w:pStyle w:val="SingleTxtG"/>
        <w:numPr>
          <w:ilvl w:val="0"/>
          <w:numId w:val="18"/>
        </w:numPr>
        <w:ind w:left="1134" w:firstLine="567"/>
      </w:pPr>
      <w:r w:rsidRPr="006B4E25">
        <w:t>Zagotoviti</w:t>
      </w:r>
      <w:r w:rsidR="00FC0EE2" w:rsidRPr="006B4E25">
        <w:t xml:space="preserve"> morajo</w:t>
      </w:r>
      <w:r w:rsidRPr="006B4E25">
        <w:t>, da so nacionalni mehanizmi spremljanja iz člena 33 Konvencije neodvisni, da učinkovito vključujejo reprezentativne organizacije ljudi z invalidnostmi ter da imajo na voljo ustrezna sredstva za obravnavanje diskr</w:t>
      </w:r>
      <w:r w:rsidR="00FC0EE2" w:rsidRPr="006B4E25">
        <w:t>iminacije ljudi z invalidnostmi.</w:t>
      </w:r>
    </w:p>
    <w:p w14:paraId="07231BC7" w14:textId="17607B6D" w:rsidR="005545DB" w:rsidRPr="006B4E25" w:rsidRDefault="00584594">
      <w:pPr>
        <w:pStyle w:val="SingleTxtG"/>
        <w:numPr>
          <w:ilvl w:val="0"/>
          <w:numId w:val="18"/>
        </w:numPr>
        <w:ind w:left="1134" w:firstLine="567"/>
      </w:pPr>
      <w:r w:rsidRPr="006B4E25">
        <w:t xml:space="preserve">Zagotoviti </w:t>
      </w:r>
      <w:r w:rsidR="00FC0EE2" w:rsidRPr="006B4E25">
        <w:t xml:space="preserve">morajo </w:t>
      </w:r>
      <w:r w:rsidRPr="006B4E25">
        <w:t xml:space="preserve">posebno zaščito </w:t>
      </w:r>
      <w:r w:rsidR="00D56077" w:rsidRPr="006B4E25">
        <w:t>v primerih kršitev</w:t>
      </w:r>
      <w:r w:rsidRPr="006B4E25">
        <w:t xml:space="preserve">, in izvajati </w:t>
      </w:r>
      <w:r w:rsidR="00D56077" w:rsidRPr="006B4E25">
        <w:t xml:space="preserve">posebno </w:t>
      </w:r>
      <w:r w:rsidRPr="006B4E25">
        <w:t xml:space="preserve">skrbnost za preprečevanje in odpravo </w:t>
      </w:r>
      <w:r w:rsidR="00D56077" w:rsidRPr="006B4E25">
        <w:t xml:space="preserve">vseh </w:t>
      </w:r>
      <w:r w:rsidRPr="006B4E25">
        <w:t>incidentov, povezanih z nasiljem, izkoriščanjem in zlorabo ter</w:t>
      </w:r>
      <w:r w:rsidR="00FC0EE2" w:rsidRPr="006B4E25">
        <w:t xml:space="preserve"> kršitvijo telesne integritete</w:t>
      </w:r>
      <w:r w:rsidR="00D56077" w:rsidRPr="006B4E25">
        <w:t xml:space="preserve">, ki jih ljudje z invalidnostmi doživljajo na </w:t>
      </w:r>
      <w:proofErr w:type="spellStart"/>
      <w:r w:rsidR="00D56077" w:rsidRPr="006B4E25">
        <w:t>enkratn</w:t>
      </w:r>
      <w:proofErr w:type="spellEnd"/>
      <w:r w:rsidR="00D56077" w:rsidRPr="006B4E25">
        <w:t xml:space="preserve"> e načine ali nesorazmerno pogosto</w:t>
      </w:r>
      <w:r w:rsidR="00FC0EE2" w:rsidRPr="006B4E25">
        <w:t>.</w:t>
      </w:r>
    </w:p>
    <w:p w14:paraId="07231BC8" w14:textId="0205BA3B" w:rsidR="005545DB" w:rsidRPr="006B4E25" w:rsidRDefault="00584594">
      <w:pPr>
        <w:pStyle w:val="SingleTxtG"/>
        <w:numPr>
          <w:ilvl w:val="0"/>
          <w:numId w:val="18"/>
        </w:numPr>
        <w:ind w:left="1134" w:firstLine="567"/>
      </w:pPr>
      <w:r w:rsidRPr="006B4E25">
        <w:t xml:space="preserve">Sprejeti </w:t>
      </w:r>
      <w:r w:rsidR="00FC0EE2" w:rsidRPr="006B4E25">
        <w:t xml:space="preserve">morajo </w:t>
      </w:r>
      <w:r w:rsidRPr="006B4E25">
        <w:t>posebne ukrepe za doseganje vključujoče enakosti, zlasti za ljudi z invalidnostmi, ki doživljajo presečno</w:t>
      </w:r>
      <w:r w:rsidR="00D56077" w:rsidRPr="006B4E25">
        <w:t xml:space="preserve"> (</w:t>
      </w:r>
      <w:proofErr w:type="spellStart"/>
      <w:r w:rsidR="00D56077" w:rsidRPr="006B4E25">
        <w:t>intersekcijsko</w:t>
      </w:r>
      <w:proofErr w:type="spellEnd"/>
      <w:r w:rsidR="00D56077" w:rsidRPr="006B4E25">
        <w:t>)</w:t>
      </w:r>
      <w:r w:rsidRPr="006B4E25">
        <w:t xml:space="preserve"> diskriminacijo, kot so ženske, dekleta, otroci, starejše osebe in </w:t>
      </w:r>
      <w:r w:rsidR="00D56077" w:rsidRPr="006B4E25">
        <w:t xml:space="preserve">staroselske </w:t>
      </w:r>
      <w:r w:rsidR="00FC0EE2" w:rsidRPr="006B4E25">
        <w:t>osebe z invalidnostmi.</w:t>
      </w:r>
    </w:p>
    <w:p w14:paraId="07231BC9" w14:textId="2FAB8F66" w:rsidR="005545DB" w:rsidRPr="006B4E25" w:rsidRDefault="00584594">
      <w:pPr>
        <w:pStyle w:val="SingleTxtG"/>
        <w:numPr>
          <w:ilvl w:val="0"/>
          <w:numId w:val="18"/>
        </w:numPr>
        <w:ind w:left="1134" w:firstLine="567"/>
      </w:pPr>
      <w:r w:rsidRPr="006B4E25">
        <w:t xml:space="preserve">Države pogodbenice, ki sprejmejo veliko število prosilcev za azil, beguncev ali migrantov, bi morale vzpostaviti formalne, zakonsko opredeljene postopke za zagotavljanje dostopnosti za ljudi z invalidnostmi, vključno z ženskami in otroki </w:t>
      </w:r>
      <w:r w:rsidR="00D56077" w:rsidRPr="006B4E25">
        <w:t>z invalidnostm</w:t>
      </w:r>
      <w:r w:rsidRPr="006B4E25">
        <w:t xml:space="preserve">i ter osebami s psihosocialnimi in/ali intelektualnimi invalidnostmi, v sprejemnih objektih in drugih centrih za migrante, prosilce za azil in begunce. Države pogodbenice morajo zagotoviti, da se ljudem z invalidnostmi zagotovi psihosocialno in pravno svetovanje, podpora in rehabilitacija ter da </w:t>
      </w:r>
      <w:r w:rsidR="00D80EB6" w:rsidRPr="006B4E25">
        <w:t xml:space="preserve">so storitve </w:t>
      </w:r>
      <w:r w:rsidRPr="006B4E25">
        <w:t xml:space="preserve">zaščite </w:t>
      </w:r>
      <w:r w:rsidR="00D80EB6" w:rsidRPr="006B4E25">
        <w:t xml:space="preserve">občutljive na </w:t>
      </w:r>
      <w:r w:rsidRPr="006B4E25">
        <w:t xml:space="preserve">invalidnost, starost, spol in </w:t>
      </w:r>
      <w:r w:rsidR="00D80EB6" w:rsidRPr="006B4E25">
        <w:t>kulturo</w:t>
      </w:r>
      <w:r w:rsidRPr="006B4E25">
        <w:t>.</w:t>
      </w:r>
    </w:p>
    <w:p w14:paraId="07231BCA" w14:textId="77777777" w:rsidR="005545DB" w:rsidRPr="006B4E25" w:rsidRDefault="00584594">
      <w:pPr>
        <w:pStyle w:val="P68B1DB1-Navaden4"/>
        <w:spacing w:before="240"/>
        <w:ind w:left="1134" w:right="1134"/>
        <w:jc w:val="center"/>
      </w:pPr>
      <w:r w:rsidRPr="006B4E25">
        <w:tab/>
      </w:r>
      <w:r w:rsidRPr="006B4E25">
        <w:tab/>
      </w:r>
      <w:r w:rsidRPr="006B4E25">
        <w:tab/>
      </w:r>
    </w:p>
    <w:sectPr w:rsidR="005545DB" w:rsidRPr="006B4E25">
      <w:headerReference w:type="even" r:id="rId11"/>
      <w:headerReference w:type="default" r:id="rId12"/>
      <w:footerReference w:type="even" r:id="rId13"/>
      <w:footerReference w:type="default" r:id="rId14"/>
      <w:footerReference w:type="first" r:id="rId15"/>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D44C9" w14:textId="77777777" w:rsidR="00BD3164" w:rsidRPr="006B4E25" w:rsidRDefault="00BD3164"/>
  </w:endnote>
  <w:endnote w:type="continuationSeparator" w:id="0">
    <w:p w14:paraId="7E480593" w14:textId="77777777" w:rsidR="00BD3164" w:rsidRPr="006B4E25" w:rsidRDefault="00BD3164"/>
  </w:endnote>
  <w:endnote w:type="continuationNotice" w:id="1">
    <w:p w14:paraId="35053C93" w14:textId="77777777" w:rsidR="00BD3164" w:rsidRPr="006B4E25" w:rsidRDefault="00BD31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39T30Lfz">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31BD5" w14:textId="57B0809C" w:rsidR="005545DB" w:rsidRPr="006B4E25" w:rsidRDefault="00584594">
    <w:pPr>
      <w:pStyle w:val="P68B1DB1-Noga7"/>
      <w:tabs>
        <w:tab w:val="right" w:pos="9638"/>
      </w:tabs>
    </w:pPr>
    <w:r w:rsidRPr="006B4E25">
      <w:rPr>
        <w:b/>
      </w:rPr>
      <w:fldChar w:fldCharType="begin"/>
    </w:r>
    <w:r w:rsidRPr="006B4E25">
      <w:rPr>
        <w:b/>
      </w:rPr>
      <w:instrText xml:space="preserve"> PAGE  \* MERGEFORMAT </w:instrText>
    </w:r>
    <w:r w:rsidRPr="006B4E25">
      <w:rPr>
        <w:b/>
      </w:rPr>
      <w:fldChar w:fldCharType="separate"/>
    </w:r>
    <w:r w:rsidR="005224B8" w:rsidRPr="006B4E25">
      <w:rPr>
        <w:b/>
      </w:rPr>
      <w:t>8</w:t>
    </w:r>
    <w:r w:rsidRPr="006B4E25">
      <w:rPr>
        <w:b/>
      </w:rPr>
      <w:fldChar w:fldCharType="end"/>
    </w:r>
    <w:r w:rsidRPr="006B4E25">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31BD6" w14:textId="63722D00" w:rsidR="005545DB" w:rsidRPr="006B4E25" w:rsidRDefault="00584594">
    <w:pPr>
      <w:pStyle w:val="Noga"/>
      <w:tabs>
        <w:tab w:val="right" w:pos="9638"/>
      </w:tabs>
      <w:rPr>
        <w:b/>
        <w:sz w:val="18"/>
      </w:rPr>
    </w:pPr>
    <w:r w:rsidRPr="006B4E25">
      <w:tab/>
    </w:r>
    <w:r w:rsidRPr="006B4E25">
      <w:rPr>
        <w:b/>
        <w:sz w:val="18"/>
      </w:rPr>
      <w:fldChar w:fldCharType="begin"/>
    </w:r>
    <w:r w:rsidRPr="006B4E25">
      <w:rPr>
        <w:b/>
        <w:sz w:val="18"/>
      </w:rPr>
      <w:instrText xml:space="preserve"> PAGE  \* MERGEFORMAT </w:instrText>
    </w:r>
    <w:r w:rsidRPr="006B4E25">
      <w:rPr>
        <w:b/>
        <w:sz w:val="18"/>
      </w:rPr>
      <w:fldChar w:fldCharType="separate"/>
    </w:r>
    <w:r w:rsidR="005224B8" w:rsidRPr="006B4E25">
      <w:rPr>
        <w:b/>
        <w:sz w:val="18"/>
      </w:rPr>
      <w:t>9</w:t>
    </w:r>
    <w:r w:rsidRPr="006B4E25">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FC774" w14:textId="77777777" w:rsidR="005545DB" w:rsidRPr="006B4E25" w:rsidRDefault="00584594">
    <w:pPr>
      <w:pStyle w:val="Noga"/>
    </w:pPr>
    <w:r w:rsidRPr="006B4E25">
      <w:rPr>
        <w:noProof/>
        <w:lang w:eastAsia="sl-SI"/>
      </w:rPr>
      <w:drawing>
        <wp:anchor distT="0" distB="0" distL="114300" distR="114300" simplePos="0" relativeHeight="251659264" behindDoc="1" locked="1" layoutInCell="1" allowOverlap="1" wp14:anchorId="60831B89" wp14:editId="20C43D0D">
          <wp:simplePos x="0" y="0"/>
          <wp:positionH relativeFrom="margin">
            <wp:posOffset>4320540</wp:posOffset>
          </wp:positionH>
          <wp:positionV relativeFrom="margin">
            <wp:posOffset>9145270</wp:posOffset>
          </wp:positionV>
          <wp:extent cx="932400" cy="230400"/>
          <wp:effectExtent l="0" t="0" r="1270" b="0"/>
          <wp:wrapTight wrapText="bothSides">
            <wp:wrapPolygon edited="0">
              <wp:start x="16332" y="0"/>
              <wp:lineTo x="0" y="8950"/>
              <wp:lineTo x="0" y="19691"/>
              <wp:lineTo x="10153" y="19691"/>
              <wp:lineTo x="20747" y="19691"/>
              <wp:lineTo x="21188" y="16110"/>
              <wp:lineTo x="21188" y="0"/>
              <wp:lineTo x="16332"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69039B22" w14:textId="77777777" w:rsidR="005545DB" w:rsidRPr="006B4E25" w:rsidRDefault="00584594">
    <w:pPr>
      <w:pStyle w:val="P68B1DB1-Noga5"/>
      <w:ind w:right="1134"/>
    </w:pPr>
    <w:r w:rsidRPr="006B4E25">
      <w:t>GE.18-01432(E)</w:t>
    </w:r>
  </w:p>
  <w:p w14:paraId="548F99BB" w14:textId="02B05322" w:rsidR="005545DB" w:rsidRPr="006B4E25" w:rsidRDefault="00584594">
    <w:pPr>
      <w:pStyle w:val="P68B1DB1-Noga6"/>
      <w:ind w:right="1134"/>
    </w:pPr>
    <w:r w:rsidRPr="006B4E25">
      <w:t></w:t>
    </w:r>
    <w:r w:rsidRPr="006B4E25">
      <w:t></w:t>
    </w:r>
    <w:r w:rsidRPr="006B4E25">
      <w:t></w:t>
    </w:r>
    <w:r w:rsidRPr="006B4E25">
      <w:t></w:t>
    </w:r>
    <w:r w:rsidRPr="006B4E25">
      <w:t></w:t>
    </w:r>
    <w:r w:rsidRPr="006B4E25">
      <w:t></w:t>
    </w:r>
    <w:r w:rsidRPr="006B4E25">
      <w:t></w:t>
    </w:r>
    <w:r w:rsidRPr="006B4E25">
      <w:t></w:t>
    </w:r>
    <w:r w:rsidRPr="006B4E25">
      <w:t></w:t>
    </w:r>
    <w:r w:rsidRPr="006B4E25">
      <w:rPr>
        <w:noProof/>
        <w:lang w:eastAsia="sl-SI"/>
      </w:rPr>
      <w:drawing>
        <wp:anchor distT="0" distB="0" distL="114300" distR="114300" simplePos="0" relativeHeight="251660288" behindDoc="0" locked="0" layoutInCell="1" allowOverlap="1" wp14:anchorId="2366CCE1" wp14:editId="39CE8D36">
          <wp:simplePos x="0" y="0"/>
          <wp:positionH relativeFrom="margin">
            <wp:posOffset>5478780</wp:posOffset>
          </wp:positionH>
          <wp:positionV relativeFrom="margin">
            <wp:posOffset>8794750</wp:posOffset>
          </wp:positionV>
          <wp:extent cx="638175" cy="638175"/>
          <wp:effectExtent l="0" t="0" r="9525" b="9525"/>
          <wp:wrapNone/>
          <wp:docPr id="2" name="Picture 1" descr="https://undocs.org/m2/QRCode.ashx?DS=CRPD/C/19/R.3&amp;Size=2 &amp;L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ndocs.org/m2/QRCode.ashx?DS=CRPD/C/19/R.3&amp;Size=2 &amp;Lan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A8CF3" w14:textId="77777777" w:rsidR="00BD3164" w:rsidRPr="006B4E25" w:rsidRDefault="00BD3164">
      <w:pPr>
        <w:pStyle w:val="P68B1DB1-Navaden4"/>
        <w:tabs>
          <w:tab w:val="right" w:pos="2155"/>
        </w:tabs>
        <w:spacing w:after="80"/>
        <w:ind w:left="680"/>
      </w:pPr>
      <w:r w:rsidRPr="006B4E25">
        <w:tab/>
      </w:r>
    </w:p>
  </w:footnote>
  <w:footnote w:type="continuationSeparator" w:id="0">
    <w:p w14:paraId="4C86CF59" w14:textId="77777777" w:rsidR="00BD3164" w:rsidRPr="006B4E25" w:rsidRDefault="00BD3164">
      <w:pPr>
        <w:pStyle w:val="P68B1DB1-Navaden4"/>
        <w:tabs>
          <w:tab w:val="left" w:pos="2155"/>
        </w:tabs>
        <w:spacing w:after="80"/>
        <w:ind w:left="680"/>
      </w:pPr>
      <w:r w:rsidRPr="006B4E25">
        <w:tab/>
      </w:r>
    </w:p>
  </w:footnote>
  <w:footnote w:type="continuationNotice" w:id="1">
    <w:p w14:paraId="6792BBED" w14:textId="77777777" w:rsidR="00BD3164" w:rsidRPr="006B4E25" w:rsidRDefault="00BD3164"/>
  </w:footnote>
  <w:footnote w:id="2">
    <w:p w14:paraId="1DB273E1" w14:textId="5C68DA9A" w:rsidR="005545DB" w:rsidRPr="006B4E25" w:rsidRDefault="00584594">
      <w:pPr>
        <w:pStyle w:val="Sprotnaopomba-besedilo"/>
        <w:rPr>
          <w:sz w:val="20"/>
        </w:rPr>
      </w:pPr>
      <w:r w:rsidRPr="006B4E25">
        <w:rPr>
          <w:rStyle w:val="Sprotnaopomba-sklic"/>
        </w:rPr>
        <w:tab/>
      </w:r>
      <w:r w:rsidRPr="006B4E25">
        <w:rPr>
          <w:rStyle w:val="Sprotnaopomba-sklic"/>
          <w:sz w:val="20"/>
        </w:rPr>
        <w:t>*</w:t>
      </w:r>
      <w:r w:rsidRPr="006B4E25">
        <w:tab/>
        <w:t>Sprejeto s strani Odbor</w:t>
      </w:r>
      <w:r w:rsidR="0061501E" w:rsidRPr="006B4E25">
        <w:t>a na 19. zasedanju (19. februar</w:t>
      </w:r>
      <w:r w:rsidRPr="006B4E25">
        <w:t>–9. marec 2018).</w:t>
      </w:r>
    </w:p>
  </w:footnote>
  <w:footnote w:id="3">
    <w:p w14:paraId="067BFF17" w14:textId="60EBA338" w:rsidR="005545DB" w:rsidRPr="006B4E25" w:rsidRDefault="00584594">
      <w:pPr>
        <w:pStyle w:val="Sprotnaopomba-besedilo"/>
      </w:pPr>
      <w:r w:rsidRPr="006B4E25">
        <w:tab/>
      </w:r>
      <w:r w:rsidRPr="006B4E25">
        <w:rPr>
          <w:rStyle w:val="Sprotnaopomba-sklic"/>
        </w:rPr>
        <w:footnoteRef/>
      </w:r>
      <w:r w:rsidRPr="006B4E25">
        <w:tab/>
        <w:t>Mednarodna konvencija o odpravi vseh oblik rasne diskriminacije, Konvencija o odpravi vseh oblik diskriminacije žensk, Konvencija proti mučenju in drugim krutim, nečloveškim ali poniževalnim kaznim ali ravnanju, Konvencija o otrokovih pravicah, Mednarodna konvencija o varstvu pravic vseh delavcev migrantov in članov njihovih družin ter Mednarodna konvencija o zaščiti vseh oseb pred prisilnim izginotjem.</w:t>
      </w:r>
    </w:p>
  </w:footnote>
  <w:footnote w:id="4">
    <w:p w14:paraId="07231BDE" w14:textId="26F6F8F9" w:rsidR="005545DB" w:rsidRPr="006B4E25" w:rsidRDefault="00584594">
      <w:pPr>
        <w:pStyle w:val="Sprotnaopomba-besedilo"/>
      </w:pPr>
      <w:r w:rsidRPr="006B4E25">
        <w:tab/>
      </w:r>
      <w:r w:rsidRPr="006B4E25">
        <w:rPr>
          <w:rStyle w:val="Sprotnaopomba-sklic"/>
        </w:rPr>
        <w:footnoteRef/>
      </w:r>
      <w:r w:rsidRPr="006B4E25">
        <w:t xml:space="preserve"> </w:t>
      </w:r>
      <w:r w:rsidRPr="006B4E25">
        <w:tab/>
      </w:r>
      <w:r w:rsidRPr="006B4E25">
        <w:rPr>
          <w:rFonts w:eastAsia="Arial Unicode MS"/>
          <w:u w:color="000000"/>
          <w:bdr w:val="nil"/>
        </w:rPr>
        <w:t>Glej Splošno pripombo št. 20 (200) Odbora za gospodarske, socialne in kulturne pravice o nediskriminaciji na področju gospodarskih, socialnih in kulturnih pravic, odst.10.</w:t>
      </w:r>
    </w:p>
  </w:footnote>
  <w:footnote w:id="5">
    <w:p w14:paraId="07231BDF" w14:textId="21BFDF3B" w:rsidR="005545DB" w:rsidRPr="006B4E25" w:rsidRDefault="00584594">
      <w:pPr>
        <w:pStyle w:val="Sprotnaopomba-besedilo"/>
      </w:pPr>
      <w:r w:rsidRPr="006B4E25">
        <w:tab/>
      </w:r>
      <w:r w:rsidRPr="006B4E25">
        <w:rPr>
          <w:rStyle w:val="Sprotnaopomba-sklic"/>
        </w:rPr>
        <w:footnoteRef/>
      </w:r>
      <w:r w:rsidRPr="006B4E25">
        <w:tab/>
        <w:t>Prav tam.</w:t>
      </w:r>
    </w:p>
  </w:footnote>
  <w:footnote w:id="6">
    <w:p w14:paraId="07231BE0" w14:textId="43533A76" w:rsidR="005545DB" w:rsidRPr="006B4E25" w:rsidRDefault="00584594">
      <w:pPr>
        <w:pStyle w:val="Sprotnaopomba-besedilo"/>
      </w:pPr>
      <w:r w:rsidRPr="006B4E25">
        <w:tab/>
      </w:r>
      <w:r w:rsidRPr="006B4E25">
        <w:rPr>
          <w:rStyle w:val="Sprotnaopomba-sklic"/>
        </w:rPr>
        <w:footnoteRef/>
      </w:r>
      <w:r w:rsidRPr="006B4E25">
        <w:tab/>
        <w:t xml:space="preserve">Glej </w:t>
      </w:r>
      <w:r w:rsidRPr="006B4E25">
        <w:rPr>
          <w:rFonts w:eastAsia="Malgun Gothic"/>
        </w:rPr>
        <w:t>Splošno pripombo št. 3 (2016) Odbora za pravice oseb z invalidnostmi o ženskah in dekletih z invalidnostmi</w:t>
      </w:r>
      <w:r w:rsidRPr="006B4E25">
        <w:t>, odst. 4(c) in 16.</w:t>
      </w:r>
    </w:p>
  </w:footnote>
  <w:footnote w:id="7">
    <w:p w14:paraId="07231BE4" w14:textId="67B5AA08" w:rsidR="005545DB" w:rsidRPr="006B4E25" w:rsidRDefault="00584594">
      <w:pPr>
        <w:pStyle w:val="Sprotnaopomba-besedilo"/>
      </w:pPr>
      <w:r w:rsidRPr="006B4E25">
        <w:tab/>
      </w:r>
      <w:r w:rsidRPr="006B4E25">
        <w:rPr>
          <w:rStyle w:val="Sprotnaopomba-sklic"/>
        </w:rPr>
        <w:footnoteRef/>
      </w:r>
      <w:r w:rsidRPr="006B4E25">
        <w:t xml:space="preserve"> </w:t>
      </w:r>
      <w:r w:rsidRPr="006B4E25">
        <w:tab/>
        <w:t xml:space="preserve">Glej Splošno pripombo št. 1 (2014) Odbora za pravice oseb z invalidnostmi </w:t>
      </w:r>
      <w:r w:rsidRPr="006B4E25">
        <w:rPr>
          <w:rFonts w:eastAsia="Malgun Gothic"/>
        </w:rPr>
        <w:t>o enakosti pred zakonom</w:t>
      </w:r>
      <w:r w:rsidRPr="006B4E25">
        <w:t>.</w:t>
      </w:r>
    </w:p>
  </w:footnote>
  <w:footnote w:id="8">
    <w:p w14:paraId="07231BE5" w14:textId="097498B6" w:rsidR="005545DB" w:rsidRPr="006B4E25" w:rsidRDefault="00816A61">
      <w:pPr>
        <w:pStyle w:val="Sprotnaopomba-besedilo"/>
      </w:pPr>
      <w:r w:rsidRPr="006B4E25">
        <w:t xml:space="preserve">                     </w:t>
      </w:r>
      <w:r w:rsidR="00584594" w:rsidRPr="006B4E25">
        <w:rPr>
          <w:rStyle w:val="Sprotnaopomba-sklic"/>
        </w:rPr>
        <w:footnoteRef/>
      </w:r>
      <w:r w:rsidR="00584594" w:rsidRPr="006B4E25">
        <w:tab/>
        <w:t xml:space="preserve"> </w:t>
      </w:r>
      <w:r w:rsidRPr="006B4E25">
        <w:t xml:space="preserve">  </w:t>
      </w:r>
      <w:r w:rsidR="00584594" w:rsidRPr="006B4E25">
        <w:t>Glej smernice o členu 14, odt. 6 in 14, Odbora za pravice oseb z invalidnostmi. Dostopno na spletni strani Odbora (www.ohchr.org/EN/HRBodies/CRPD/Pages/CRPDIndex.aspx).</w:t>
      </w:r>
    </w:p>
  </w:footnote>
  <w:footnote w:id="9">
    <w:p w14:paraId="07231BE6" w14:textId="039703C6" w:rsidR="005545DB" w:rsidRPr="006B4E25" w:rsidRDefault="00584594">
      <w:pPr>
        <w:pStyle w:val="Sprotnaopomba-besedilo"/>
      </w:pPr>
      <w:r w:rsidRPr="006B4E25">
        <w:tab/>
      </w:r>
      <w:r w:rsidRPr="006B4E25">
        <w:rPr>
          <w:rStyle w:val="Sprotnaopomba-sklic"/>
        </w:rPr>
        <w:footnoteRef/>
      </w:r>
      <w:r w:rsidRPr="006B4E25">
        <w:tab/>
        <w:t>Glej Splošno pripombo št. 5 (2017) o neodvisnem življenju in vključenosti v skupnost.</w:t>
      </w:r>
    </w:p>
  </w:footnote>
  <w:footnote w:id="10">
    <w:p w14:paraId="07231BE7" w14:textId="48D547BA" w:rsidR="005545DB" w:rsidRPr="006B4E25" w:rsidRDefault="00584594">
      <w:pPr>
        <w:pStyle w:val="Sprotnaopomba-besedilo"/>
        <w:jc w:val="both"/>
      </w:pPr>
      <w:r w:rsidRPr="006B4E25">
        <w:tab/>
      </w:r>
      <w:r w:rsidRPr="006B4E25">
        <w:rPr>
          <w:rStyle w:val="Sprotnaopomba-sklic"/>
        </w:rPr>
        <w:footnoteRef/>
      </w:r>
      <w:r w:rsidRPr="006B4E25">
        <w:tab/>
        <w:t xml:space="preserve">Glej </w:t>
      </w:r>
      <w:r w:rsidRPr="006B4E25">
        <w:rPr>
          <w:rFonts w:eastAsia="Malgun Gothic"/>
        </w:rPr>
        <w:t>Splošno pripombo št. 4 (2016) o pravici do vključujočega izobraževanja</w:t>
      </w:r>
      <w:r w:rsidRPr="006B4E25">
        <w:t>, odst. 24.</w:t>
      </w:r>
    </w:p>
  </w:footnote>
  <w:footnote w:id="11">
    <w:p w14:paraId="07231BE8" w14:textId="79A778C4" w:rsidR="005545DB" w:rsidRPr="006B4E25" w:rsidRDefault="00584594">
      <w:pPr>
        <w:pStyle w:val="Sprotnaopomba-besedilo"/>
      </w:pPr>
      <w:r w:rsidRPr="006B4E25">
        <w:tab/>
      </w:r>
      <w:r w:rsidRPr="006B4E25">
        <w:rPr>
          <w:rStyle w:val="Sprotnaopomba-sklic"/>
        </w:rPr>
        <w:footnoteRef/>
      </w:r>
      <w:r w:rsidRPr="006B4E25">
        <w:t xml:space="preserve"> </w:t>
      </w:r>
      <w:r w:rsidRPr="006B4E25">
        <w:tab/>
        <w:t>Glej</w:t>
      </w:r>
      <w:r w:rsidRPr="006B4E25">
        <w:rPr>
          <w:i/>
        </w:rPr>
        <w:t xml:space="preserve"> Bujdosó et al v. Hungary</w:t>
      </w:r>
      <w:r w:rsidRPr="006B4E25">
        <w:t xml:space="preserve"> (CRPD/C/10/D/4/2011).</w:t>
      </w:r>
    </w:p>
  </w:footnote>
  <w:footnote w:id="12">
    <w:p w14:paraId="07231BE9" w14:textId="54860126" w:rsidR="005545DB" w:rsidRPr="006B4E25" w:rsidRDefault="00584594">
      <w:pPr>
        <w:pStyle w:val="Sprotnaopomba-besedilo"/>
      </w:pPr>
      <w:r w:rsidRPr="006B4E25">
        <w:tab/>
      </w:r>
      <w:r w:rsidRPr="006B4E25">
        <w:rPr>
          <w:rStyle w:val="Sprotnaopomba-sklic"/>
        </w:rPr>
        <w:footnoteRef/>
      </w:r>
      <w:r w:rsidRPr="006B4E25">
        <w:t xml:space="preserve"> </w:t>
      </w:r>
      <w:r w:rsidRPr="006B4E25">
        <w:tab/>
      </w:r>
      <w:r w:rsidRPr="006B4E25">
        <w:rPr>
          <w:rFonts w:eastAsia="Malgun Gothic"/>
        </w:rPr>
        <w:t xml:space="preserve">Glej Splošno pripombo Odbora za odpravo diskriminacije žensk št. 28 (2010) </w:t>
      </w:r>
      <w:r w:rsidRPr="006B4E25">
        <w:t>o temeljnih obveznostih držav pogodbenic v skladu s členom 2 Konvencije, odstavek 31.</w:t>
      </w:r>
    </w:p>
  </w:footnote>
  <w:footnote w:id="13">
    <w:p w14:paraId="07231BEA" w14:textId="41203B68" w:rsidR="005545DB" w:rsidRPr="006B4E25" w:rsidRDefault="00584594">
      <w:pPr>
        <w:pStyle w:val="Sprotnaopomba-besedilo"/>
      </w:pPr>
      <w:r w:rsidRPr="006B4E25">
        <w:tab/>
      </w:r>
      <w:r w:rsidRPr="006B4E25">
        <w:rPr>
          <w:rStyle w:val="Sprotnaopomba-sklic"/>
        </w:rPr>
        <w:footnoteRef/>
      </w:r>
      <w:r w:rsidRPr="006B4E25">
        <w:tab/>
        <w:t xml:space="preserve">Glej </w:t>
      </w:r>
      <w:r w:rsidRPr="006B4E25">
        <w:rPr>
          <w:rFonts w:eastAsia="Malgun Gothic"/>
        </w:rPr>
        <w:t>Splošno pripombo št. 3,</w:t>
      </w:r>
      <w:r w:rsidRPr="006B4E25">
        <w:t xml:space="preserve"> odst. 12.</w:t>
      </w:r>
    </w:p>
  </w:footnote>
  <w:footnote w:id="14">
    <w:p w14:paraId="2431094A" w14:textId="03201DF9" w:rsidR="005545DB" w:rsidRPr="006B4E25" w:rsidRDefault="00584594">
      <w:pPr>
        <w:pStyle w:val="Sprotnaopomba-besedilo"/>
      </w:pPr>
      <w:r w:rsidRPr="006B4E25">
        <w:tab/>
      </w:r>
      <w:r w:rsidRPr="006B4E25">
        <w:rPr>
          <w:rStyle w:val="Sprotnaopomba-sklic"/>
        </w:rPr>
        <w:footnoteRef/>
      </w:r>
      <w:r w:rsidR="00903B0F" w:rsidRPr="006B4E25">
        <w:tab/>
      </w:r>
      <w:r w:rsidRPr="006B4E25">
        <w:t>Glej Splošno pripombo št. 14 (2013) Odbora za otrokove pravice o pravici otrok do tega, da se upoštevajo predvsem njihove koristi.</w:t>
      </w:r>
    </w:p>
  </w:footnote>
  <w:footnote w:id="15">
    <w:p w14:paraId="07231BED" w14:textId="70ECDB19" w:rsidR="005545DB" w:rsidRPr="006B4E25" w:rsidRDefault="00584594">
      <w:pPr>
        <w:pStyle w:val="Sprotnaopomba-besedilo"/>
      </w:pPr>
      <w:r w:rsidRPr="006B4E25">
        <w:tab/>
      </w:r>
      <w:r w:rsidRPr="006B4E25">
        <w:rPr>
          <w:rStyle w:val="Sprotnaopomba-sklic"/>
        </w:rPr>
        <w:footnoteRef/>
      </w:r>
      <w:r w:rsidRPr="006B4E25">
        <w:t xml:space="preserve"> </w:t>
      </w:r>
      <w:r w:rsidRPr="006B4E25">
        <w:tab/>
        <w:t xml:space="preserve">Glej </w:t>
      </w:r>
      <w:r w:rsidRPr="006B4E25">
        <w:rPr>
          <w:rFonts w:eastAsia="Malgun Gothic"/>
        </w:rPr>
        <w:t>Splošno pripombo št. 3</w:t>
      </w:r>
      <w:r w:rsidRPr="006B4E25">
        <w:t>, odst. 49–50.</w:t>
      </w:r>
    </w:p>
  </w:footnote>
  <w:footnote w:id="16">
    <w:p w14:paraId="07231BF1" w14:textId="1A77C700" w:rsidR="005545DB" w:rsidRPr="006B4E25" w:rsidRDefault="00584594">
      <w:pPr>
        <w:pStyle w:val="Sprotnaopomba-besedilo"/>
      </w:pPr>
      <w:r w:rsidRPr="006B4E25">
        <w:tab/>
      </w:r>
      <w:r w:rsidRPr="006B4E25">
        <w:rPr>
          <w:rStyle w:val="Sprotnaopomba-sklic"/>
        </w:rPr>
        <w:footnoteRef/>
      </w:r>
      <w:r w:rsidRPr="006B4E25">
        <w:t xml:space="preserve"> </w:t>
      </w:r>
      <w:r w:rsidRPr="006B4E25">
        <w:tab/>
        <w:t>Glej Splošno pripombo št. 1, odstavek 41.</w:t>
      </w:r>
    </w:p>
  </w:footnote>
  <w:footnote w:id="17">
    <w:p w14:paraId="07231BF2" w14:textId="70D3F98D" w:rsidR="005545DB" w:rsidRPr="006B4E25" w:rsidRDefault="00584594">
      <w:pPr>
        <w:pStyle w:val="Sprotnaopomba-besedilo"/>
      </w:pPr>
      <w:r w:rsidRPr="006B4E25">
        <w:tab/>
      </w:r>
      <w:r w:rsidRPr="006B4E25">
        <w:rPr>
          <w:rStyle w:val="Sprotnaopomba-sklic"/>
        </w:rPr>
        <w:footnoteRef/>
      </w:r>
      <w:r w:rsidRPr="006B4E25">
        <w:tab/>
        <w:t xml:space="preserve">Glej </w:t>
      </w:r>
      <w:r w:rsidRPr="006B4E25">
        <w:rPr>
          <w:rFonts w:eastAsia="Malgun Gothic"/>
        </w:rPr>
        <w:t>Splošno pripombo št. 2,</w:t>
      </w:r>
      <w:r w:rsidRPr="006B4E25">
        <w:t xml:space="preserve"> odst. 40.</w:t>
      </w:r>
    </w:p>
  </w:footnote>
  <w:footnote w:id="18">
    <w:p w14:paraId="07231BF3" w14:textId="30AA7097" w:rsidR="005545DB" w:rsidRPr="006B4E25" w:rsidRDefault="00584594">
      <w:pPr>
        <w:pStyle w:val="Sprotnaopomba-besedilo"/>
      </w:pPr>
      <w:r w:rsidRPr="006B4E25">
        <w:tab/>
      </w:r>
      <w:r w:rsidRPr="006B4E25">
        <w:rPr>
          <w:rStyle w:val="Sprotnaopomba-sklic"/>
        </w:rPr>
        <w:footnoteRef/>
      </w:r>
      <w:r w:rsidRPr="006B4E25">
        <w:t xml:space="preserve"> </w:t>
      </w:r>
      <w:r w:rsidRPr="006B4E25">
        <w:tab/>
        <w:t>Glej Konvencijo Mednarodne organizacije dela o diskriminaciji (na področju zaposlovanja in poklicev) iz leta 1958 (št. 111) in Konvencijo o zaposlitveni rehabilitaciji in zaposlovanju (ljudi z invalidnostmi) iz leta 1983 (št. 159).</w:t>
      </w:r>
    </w:p>
  </w:footnote>
  <w:footnote w:id="19">
    <w:p w14:paraId="07231BF5" w14:textId="19E9AE2C" w:rsidR="005545DB" w:rsidRDefault="00584594">
      <w:pPr>
        <w:pStyle w:val="Sprotnaopomba-besedilo"/>
      </w:pPr>
      <w:r w:rsidRPr="006B4E25">
        <w:tab/>
      </w:r>
      <w:r w:rsidRPr="006B4E25">
        <w:rPr>
          <w:sz w:val="20"/>
          <w:vertAlign w:val="superscript"/>
        </w:rPr>
        <w:footnoteRef/>
      </w:r>
      <w:r w:rsidRPr="006B4E25">
        <w:tab/>
        <w:t xml:space="preserve">Glej </w:t>
      </w:r>
      <w:r w:rsidRPr="006B4E25">
        <w:rPr>
          <w:rFonts w:eastAsia="Malgun Gothic"/>
        </w:rPr>
        <w:t>Splošno pripombo št. 3</w:t>
      </w:r>
      <w:r w:rsidRPr="006B4E25">
        <w:t>(1990)</w:t>
      </w:r>
      <w:r w:rsidRPr="006B4E25">
        <w:rPr>
          <w:rFonts w:eastAsia="Arial Unicode MS"/>
          <w:u w:color="000000"/>
          <w:bdr w:val="nil"/>
        </w:rPr>
        <w:t xml:space="preserve"> Odbora za gospodarske, socialne in kulturne pravice </w:t>
      </w:r>
      <w:r w:rsidRPr="006B4E25">
        <w:t>o naravi obveznosti držav pogodbenic, odst.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31BD3" w14:textId="5A4782AF" w:rsidR="005545DB" w:rsidRPr="006B4E25" w:rsidRDefault="00584594">
    <w:pPr>
      <w:pStyle w:val="Glava"/>
    </w:pPr>
    <w:r w:rsidRPr="006B4E25">
      <w:t>CRPD/C/GC/6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31BD4" w14:textId="77440704" w:rsidR="005545DB" w:rsidRPr="006B4E25" w:rsidRDefault="00584594">
    <w:pPr>
      <w:pStyle w:val="Glava"/>
      <w:jc w:val="right"/>
    </w:pPr>
    <w:r w:rsidRPr="006B4E25">
      <w:t>CRPD/C/GC/6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77D8"/>
    <w:multiLevelType w:val="hybridMultilevel"/>
    <w:tmpl w:val="F22894A2"/>
    <w:lvl w:ilvl="0" w:tplc="08090017">
      <w:start w:val="1"/>
      <w:numFmt w:val="lowerLetter"/>
      <w:lvlText w:val="%1)"/>
      <w:lvlJc w:val="left"/>
      <w:pPr>
        <w:ind w:left="2062" w:hanging="360"/>
      </w:pPr>
    </w:lvl>
    <w:lvl w:ilvl="1" w:tplc="04070019" w:tentative="1">
      <w:start w:val="1"/>
      <w:numFmt w:val="lowerLetter"/>
      <w:lvlText w:val="%2."/>
      <w:lvlJc w:val="left"/>
      <w:pPr>
        <w:ind w:left="2782" w:hanging="360"/>
      </w:pPr>
    </w:lvl>
    <w:lvl w:ilvl="2" w:tplc="0407001B" w:tentative="1">
      <w:start w:val="1"/>
      <w:numFmt w:val="lowerRoman"/>
      <w:lvlText w:val="%3."/>
      <w:lvlJc w:val="right"/>
      <w:pPr>
        <w:ind w:left="3502" w:hanging="180"/>
      </w:pPr>
    </w:lvl>
    <w:lvl w:ilvl="3" w:tplc="0407000F" w:tentative="1">
      <w:start w:val="1"/>
      <w:numFmt w:val="decimal"/>
      <w:lvlText w:val="%4."/>
      <w:lvlJc w:val="left"/>
      <w:pPr>
        <w:ind w:left="4222" w:hanging="360"/>
      </w:pPr>
    </w:lvl>
    <w:lvl w:ilvl="4" w:tplc="04070019" w:tentative="1">
      <w:start w:val="1"/>
      <w:numFmt w:val="lowerLetter"/>
      <w:lvlText w:val="%5."/>
      <w:lvlJc w:val="left"/>
      <w:pPr>
        <w:ind w:left="4942" w:hanging="360"/>
      </w:pPr>
    </w:lvl>
    <w:lvl w:ilvl="5" w:tplc="0407001B" w:tentative="1">
      <w:start w:val="1"/>
      <w:numFmt w:val="lowerRoman"/>
      <w:lvlText w:val="%6."/>
      <w:lvlJc w:val="right"/>
      <w:pPr>
        <w:ind w:left="5662" w:hanging="180"/>
      </w:pPr>
    </w:lvl>
    <w:lvl w:ilvl="6" w:tplc="0407000F" w:tentative="1">
      <w:start w:val="1"/>
      <w:numFmt w:val="decimal"/>
      <w:lvlText w:val="%7."/>
      <w:lvlJc w:val="left"/>
      <w:pPr>
        <w:ind w:left="6382" w:hanging="360"/>
      </w:pPr>
    </w:lvl>
    <w:lvl w:ilvl="7" w:tplc="04070019" w:tentative="1">
      <w:start w:val="1"/>
      <w:numFmt w:val="lowerLetter"/>
      <w:lvlText w:val="%8."/>
      <w:lvlJc w:val="left"/>
      <w:pPr>
        <w:ind w:left="7102" w:hanging="360"/>
      </w:pPr>
    </w:lvl>
    <w:lvl w:ilvl="8" w:tplc="0407001B" w:tentative="1">
      <w:start w:val="1"/>
      <w:numFmt w:val="lowerRoman"/>
      <w:lvlText w:val="%9."/>
      <w:lvlJc w:val="right"/>
      <w:pPr>
        <w:ind w:left="7822"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0EBB4CF5"/>
    <w:multiLevelType w:val="hybridMultilevel"/>
    <w:tmpl w:val="28E42E52"/>
    <w:lvl w:ilvl="0" w:tplc="6F96599C">
      <w:start w:val="1"/>
      <w:numFmt w:val="decimal"/>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EA139D"/>
    <w:multiLevelType w:val="hybridMultilevel"/>
    <w:tmpl w:val="56B0FF2E"/>
    <w:lvl w:ilvl="0" w:tplc="27960604">
      <w:start w:val="1"/>
      <w:numFmt w:val="lowerLetter"/>
      <w:lvlText w:val="(%1)"/>
      <w:lvlJc w:val="left"/>
      <w:pPr>
        <w:ind w:left="144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F946C0"/>
    <w:multiLevelType w:val="hybridMultilevel"/>
    <w:tmpl w:val="9BBCFE38"/>
    <w:lvl w:ilvl="0" w:tplc="D2F49B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D82787"/>
    <w:multiLevelType w:val="hybridMultilevel"/>
    <w:tmpl w:val="AFCC98D4"/>
    <w:lvl w:ilvl="0" w:tplc="64BA9E3C">
      <w:start w:val="1"/>
      <w:numFmt w:val="decimal"/>
      <w:lvlText w:val="%1."/>
      <w:lvlJc w:val="left"/>
      <w:pPr>
        <w:ind w:left="786" w:hanging="360"/>
      </w:pPr>
      <w:rPr>
        <w:rFonts w:hint="default"/>
        <w:b w:val="0"/>
        <w:i w:val="0"/>
      </w:rPr>
    </w:lvl>
    <w:lvl w:ilvl="1" w:tplc="D2F49B08">
      <w:start w:val="1"/>
      <w:numFmt w:val="lowerLetter"/>
      <w:lvlText w:val="(%2)"/>
      <w:lvlJc w:val="left"/>
      <w:pPr>
        <w:ind w:left="1440" w:hanging="36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CA2FA1"/>
    <w:multiLevelType w:val="hybridMultilevel"/>
    <w:tmpl w:val="AE5A6984"/>
    <w:lvl w:ilvl="0" w:tplc="D2F49B08">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8" w15:restartNumberingAfterBreak="0">
    <w:nsid w:val="28DE75BC"/>
    <w:multiLevelType w:val="hybridMultilevel"/>
    <w:tmpl w:val="84E84CD2"/>
    <w:lvl w:ilvl="0" w:tplc="D2F49B08">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9" w15:restartNumberingAfterBreak="0">
    <w:nsid w:val="33643CD4"/>
    <w:multiLevelType w:val="hybridMultilevel"/>
    <w:tmpl w:val="5196775A"/>
    <w:lvl w:ilvl="0" w:tplc="D2F49B08">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0" w15:restartNumberingAfterBreak="0">
    <w:nsid w:val="385E2AD6"/>
    <w:multiLevelType w:val="multilevel"/>
    <w:tmpl w:val="A5D8C940"/>
    <w:lvl w:ilvl="0">
      <w:start w:val="4"/>
      <w:numFmt w:val="decimal"/>
      <w:lvlText w:val="%1."/>
      <w:lvlJc w:val="left"/>
      <w:pPr>
        <w:ind w:left="36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D79193E"/>
    <w:multiLevelType w:val="hybridMultilevel"/>
    <w:tmpl w:val="14FC5EDE"/>
    <w:lvl w:ilvl="0" w:tplc="D2F49B08">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2" w15:restartNumberingAfterBreak="0">
    <w:nsid w:val="417A2242"/>
    <w:multiLevelType w:val="hybridMultilevel"/>
    <w:tmpl w:val="2A5EC4A2"/>
    <w:lvl w:ilvl="0" w:tplc="08090015">
      <w:start w:val="1"/>
      <w:numFmt w:val="upperLetter"/>
      <w:lvlText w:val="%1."/>
      <w:lvlJc w:val="left"/>
      <w:pPr>
        <w:ind w:left="360" w:hanging="360"/>
      </w:pPr>
      <w:rPr>
        <w:rFonts w:hint="default"/>
        <w:b w:val="0"/>
      </w:rPr>
    </w:lvl>
    <w:lvl w:ilvl="1" w:tplc="D2F49B08">
      <w:start w:val="1"/>
      <w:numFmt w:val="lowerLetter"/>
      <w:lvlText w:val="(%2)"/>
      <w:lvlJc w:val="left"/>
      <w:pPr>
        <w:ind w:left="1440" w:hanging="360"/>
      </w:pPr>
      <w:rPr>
        <w:rFonts w:hint="default"/>
      </w:rPr>
    </w:lvl>
    <w:lvl w:ilvl="2" w:tplc="0407001B">
      <w:start w:val="1"/>
      <w:numFmt w:val="lowerRoman"/>
      <w:lvlText w:val="%3."/>
      <w:lvlJc w:val="right"/>
      <w:pPr>
        <w:ind w:left="2160" w:hanging="180"/>
      </w:pPr>
    </w:lvl>
    <w:lvl w:ilvl="3" w:tplc="08090015">
      <w:start w:val="1"/>
      <w:numFmt w:val="upperLetter"/>
      <w:lvlText w:val="%4."/>
      <w:lvlJc w:val="left"/>
      <w:pPr>
        <w:ind w:left="2880" w:hanging="360"/>
      </w:pPr>
      <w:rPr>
        <w:rFonts w:hint="default"/>
      </w:rPr>
    </w:lvl>
    <w:lvl w:ilvl="4" w:tplc="334E8C48">
      <w:start w:val="1"/>
      <w:numFmt w:val="decimal"/>
      <w:lvlText w:val="%5."/>
      <w:lvlJc w:val="left"/>
      <w:pPr>
        <w:ind w:left="3600" w:hanging="360"/>
      </w:pPr>
      <w:rPr>
        <w:rFonts w:hint="default"/>
      </w:r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8941CB4"/>
    <w:multiLevelType w:val="hybridMultilevel"/>
    <w:tmpl w:val="BDEEDAA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FB7464"/>
    <w:multiLevelType w:val="hybridMultilevel"/>
    <w:tmpl w:val="C6F42AE8"/>
    <w:lvl w:ilvl="0" w:tplc="0409000F">
      <w:start w:val="1"/>
      <w:numFmt w:val="decimal"/>
      <w:lvlText w:val="%1."/>
      <w:lvlJc w:val="lef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5" w15:restartNumberingAfterBreak="0">
    <w:nsid w:val="4E4560CD"/>
    <w:multiLevelType w:val="hybridMultilevel"/>
    <w:tmpl w:val="CF84767E"/>
    <w:lvl w:ilvl="0" w:tplc="D2F49B08">
      <w:start w:val="1"/>
      <w:numFmt w:val="lowerLetter"/>
      <w:lvlText w:val="(%1)"/>
      <w:lvlJc w:val="left"/>
      <w:pPr>
        <w:ind w:left="1068" w:hanging="360"/>
      </w:pPr>
      <w:rPr>
        <w:rFonts w:hint="default"/>
        <w:b w:val="0"/>
      </w:rPr>
    </w:lvl>
    <w:lvl w:ilvl="1" w:tplc="341C9BB0">
      <w:start w:val="1"/>
      <w:numFmt w:val="lowerLetter"/>
      <w:lvlText w:val="%2."/>
      <w:lvlJc w:val="left"/>
      <w:pPr>
        <w:ind w:left="1788" w:hanging="360"/>
      </w:pPr>
      <w:rPr>
        <w:rFonts w:asciiTheme="minorHAnsi" w:hAnsiTheme="minorHAnsi" w:cstheme="minorHAnsi" w:hint="default"/>
        <w:b w:val="0"/>
      </w:r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6" w15:restartNumberingAfterBreak="0">
    <w:nsid w:val="4F41351B"/>
    <w:multiLevelType w:val="hybridMultilevel"/>
    <w:tmpl w:val="3BD0FE72"/>
    <w:lvl w:ilvl="0" w:tplc="9C6A361A">
      <w:start w:val="4"/>
      <w:numFmt w:val="decimal"/>
      <w:lvlText w:val="%1."/>
      <w:lvlJc w:val="left"/>
      <w:pPr>
        <w:ind w:left="360" w:hanging="360"/>
      </w:pPr>
      <w:rPr>
        <w:rFonts w:hint="default"/>
        <w:b w:val="0"/>
      </w:rPr>
    </w:lvl>
    <w:lvl w:ilvl="1" w:tplc="08090017">
      <w:start w:val="1"/>
      <w:numFmt w:val="lowerLetter"/>
      <w:lvlText w:val="%2)"/>
      <w:lvlJc w:val="left"/>
      <w:pPr>
        <w:ind w:left="1440" w:hanging="360"/>
      </w:pPr>
      <w:rPr>
        <w:rFonts w:hint="default"/>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A35795A"/>
    <w:multiLevelType w:val="hybridMultilevel"/>
    <w:tmpl w:val="B7085B66"/>
    <w:lvl w:ilvl="0" w:tplc="D2F49B08">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8" w15:restartNumberingAfterBreak="0">
    <w:nsid w:val="68096E5B"/>
    <w:multiLevelType w:val="hybridMultilevel"/>
    <w:tmpl w:val="A798F414"/>
    <w:lvl w:ilvl="0" w:tplc="D2F49B08">
      <w:start w:val="1"/>
      <w:numFmt w:val="lowerLetter"/>
      <w:lvlText w:val="(%1)"/>
      <w:lvlJc w:val="left"/>
      <w:pPr>
        <w:ind w:left="1080" w:hanging="360"/>
      </w:pPr>
      <w:rPr>
        <w:rFonts w:hint="default"/>
        <w:b w:val="0"/>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7300DC"/>
    <w:multiLevelType w:val="hybridMultilevel"/>
    <w:tmpl w:val="FC6EADE6"/>
    <w:lvl w:ilvl="0" w:tplc="D2F49B08">
      <w:start w:val="1"/>
      <w:numFmt w:val="lowerLetter"/>
      <w:lvlText w:val="(%1)"/>
      <w:lvlJc w:val="left"/>
      <w:pPr>
        <w:ind w:left="2160" w:hanging="360"/>
      </w:pPr>
      <w:rPr>
        <w:rFonts w:hint="default"/>
      </w:rPr>
    </w:lvl>
    <w:lvl w:ilvl="1" w:tplc="04070019" w:tentative="1">
      <w:start w:val="1"/>
      <w:numFmt w:val="lowerLetter"/>
      <w:lvlText w:val="%2."/>
      <w:lvlJc w:val="left"/>
      <w:pPr>
        <w:ind w:left="2880" w:hanging="360"/>
      </w:pPr>
    </w:lvl>
    <w:lvl w:ilvl="2" w:tplc="0407001B" w:tentative="1">
      <w:start w:val="1"/>
      <w:numFmt w:val="lowerRoman"/>
      <w:lvlText w:val="%3."/>
      <w:lvlJc w:val="right"/>
      <w:pPr>
        <w:ind w:left="3600" w:hanging="180"/>
      </w:pPr>
    </w:lvl>
    <w:lvl w:ilvl="3" w:tplc="0407000F" w:tentative="1">
      <w:start w:val="1"/>
      <w:numFmt w:val="decimal"/>
      <w:lvlText w:val="%4."/>
      <w:lvlJc w:val="left"/>
      <w:pPr>
        <w:ind w:left="4320" w:hanging="360"/>
      </w:pPr>
    </w:lvl>
    <w:lvl w:ilvl="4" w:tplc="04070019" w:tentative="1">
      <w:start w:val="1"/>
      <w:numFmt w:val="lowerLetter"/>
      <w:lvlText w:val="%5."/>
      <w:lvlJc w:val="left"/>
      <w:pPr>
        <w:ind w:left="5040" w:hanging="360"/>
      </w:pPr>
    </w:lvl>
    <w:lvl w:ilvl="5" w:tplc="0407001B" w:tentative="1">
      <w:start w:val="1"/>
      <w:numFmt w:val="lowerRoman"/>
      <w:lvlText w:val="%6."/>
      <w:lvlJc w:val="right"/>
      <w:pPr>
        <w:ind w:left="5760" w:hanging="180"/>
      </w:pPr>
    </w:lvl>
    <w:lvl w:ilvl="6" w:tplc="0407000F" w:tentative="1">
      <w:start w:val="1"/>
      <w:numFmt w:val="decimal"/>
      <w:lvlText w:val="%7."/>
      <w:lvlJc w:val="left"/>
      <w:pPr>
        <w:ind w:left="6480" w:hanging="360"/>
      </w:pPr>
    </w:lvl>
    <w:lvl w:ilvl="7" w:tplc="04070019" w:tentative="1">
      <w:start w:val="1"/>
      <w:numFmt w:val="lowerLetter"/>
      <w:lvlText w:val="%8."/>
      <w:lvlJc w:val="left"/>
      <w:pPr>
        <w:ind w:left="7200" w:hanging="360"/>
      </w:pPr>
    </w:lvl>
    <w:lvl w:ilvl="8" w:tplc="0407001B" w:tentative="1">
      <w:start w:val="1"/>
      <w:numFmt w:val="lowerRoman"/>
      <w:lvlText w:val="%9."/>
      <w:lvlJc w:val="right"/>
      <w:pPr>
        <w:ind w:left="7920" w:hanging="180"/>
      </w:pPr>
    </w:lvl>
  </w:abstractNum>
  <w:abstractNum w:abstractNumId="21" w15:restartNumberingAfterBreak="0">
    <w:nsid w:val="7FB75BF2"/>
    <w:multiLevelType w:val="hybridMultilevel"/>
    <w:tmpl w:val="250CA3AA"/>
    <w:lvl w:ilvl="0" w:tplc="D2F49B08">
      <w:start w:val="1"/>
      <w:numFmt w:val="lowerLetter"/>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num w:numId="1" w16cid:durableId="536048747">
    <w:abstractNumId w:val="1"/>
  </w:num>
  <w:num w:numId="2" w16cid:durableId="715351153">
    <w:abstractNumId w:val="19"/>
  </w:num>
  <w:num w:numId="3" w16cid:durableId="474958656">
    <w:abstractNumId w:val="2"/>
  </w:num>
  <w:num w:numId="4" w16cid:durableId="1176532659">
    <w:abstractNumId w:val="6"/>
  </w:num>
  <w:num w:numId="5" w16cid:durableId="582108692">
    <w:abstractNumId w:val="16"/>
  </w:num>
  <w:num w:numId="6" w16cid:durableId="1140153839">
    <w:abstractNumId w:val="5"/>
  </w:num>
  <w:num w:numId="7" w16cid:durableId="2108575202">
    <w:abstractNumId w:val="8"/>
  </w:num>
  <w:num w:numId="8" w16cid:durableId="142741698">
    <w:abstractNumId w:val="15"/>
  </w:num>
  <w:num w:numId="9" w16cid:durableId="640812738">
    <w:abstractNumId w:val="12"/>
  </w:num>
  <w:num w:numId="10" w16cid:durableId="623001552">
    <w:abstractNumId w:val="3"/>
  </w:num>
  <w:num w:numId="11" w16cid:durableId="2103141720">
    <w:abstractNumId w:val="7"/>
  </w:num>
  <w:num w:numId="12" w16cid:durableId="1456437577">
    <w:abstractNumId w:val="21"/>
  </w:num>
  <w:num w:numId="13" w16cid:durableId="845636442">
    <w:abstractNumId w:val="18"/>
  </w:num>
  <w:num w:numId="14" w16cid:durableId="214851945">
    <w:abstractNumId w:val="20"/>
  </w:num>
  <w:num w:numId="15" w16cid:durableId="1155729904">
    <w:abstractNumId w:val="17"/>
  </w:num>
  <w:num w:numId="16" w16cid:durableId="1592927668">
    <w:abstractNumId w:val="0"/>
  </w:num>
  <w:num w:numId="17" w16cid:durableId="1637836911">
    <w:abstractNumId w:val="11"/>
  </w:num>
  <w:num w:numId="18" w16cid:durableId="1462530162">
    <w:abstractNumId w:val="9"/>
  </w:num>
  <w:num w:numId="19" w16cid:durableId="1820152849">
    <w:abstractNumId w:val="10"/>
  </w:num>
  <w:num w:numId="20" w16cid:durableId="1055004391">
    <w:abstractNumId w:val="13"/>
  </w:num>
  <w:num w:numId="21" w16cid:durableId="975065236">
    <w:abstractNumId w:val="14"/>
  </w:num>
  <w:num w:numId="22" w16cid:durableId="1172722073">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es-ES" w:vendorID="64" w:dllVersion="6" w:nlCheck="1" w:checkStyle="0"/>
  <w:activeWritingStyle w:appName="MSWord" w:lang="de-DE"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AU" w:vendorID="64" w:dllVersion="4096"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A52"/>
    <w:rsid w:val="00012277"/>
    <w:rsid w:val="000228BE"/>
    <w:rsid w:val="00022AEE"/>
    <w:rsid w:val="00032FF2"/>
    <w:rsid w:val="00033814"/>
    <w:rsid w:val="000353A6"/>
    <w:rsid w:val="00036D1F"/>
    <w:rsid w:val="00042228"/>
    <w:rsid w:val="000445D6"/>
    <w:rsid w:val="00050F6B"/>
    <w:rsid w:val="00060B14"/>
    <w:rsid w:val="00061E26"/>
    <w:rsid w:val="00061F40"/>
    <w:rsid w:val="0006281A"/>
    <w:rsid w:val="00063EF9"/>
    <w:rsid w:val="00067930"/>
    <w:rsid w:val="00072C8C"/>
    <w:rsid w:val="000733B5"/>
    <w:rsid w:val="000768BA"/>
    <w:rsid w:val="00077485"/>
    <w:rsid w:val="000809F5"/>
    <w:rsid w:val="00082DF6"/>
    <w:rsid w:val="0008466F"/>
    <w:rsid w:val="000931C0"/>
    <w:rsid w:val="00093251"/>
    <w:rsid w:val="0009448D"/>
    <w:rsid w:val="00097290"/>
    <w:rsid w:val="000A0BB1"/>
    <w:rsid w:val="000A374F"/>
    <w:rsid w:val="000A5D3B"/>
    <w:rsid w:val="000B175B"/>
    <w:rsid w:val="000B38F5"/>
    <w:rsid w:val="000B3A0F"/>
    <w:rsid w:val="000B4EF7"/>
    <w:rsid w:val="000B6E8C"/>
    <w:rsid w:val="000C1462"/>
    <w:rsid w:val="000C2D2E"/>
    <w:rsid w:val="000C4012"/>
    <w:rsid w:val="000C42C7"/>
    <w:rsid w:val="000C5407"/>
    <w:rsid w:val="000C6CFB"/>
    <w:rsid w:val="000D3E56"/>
    <w:rsid w:val="000D42DD"/>
    <w:rsid w:val="000D5A7D"/>
    <w:rsid w:val="000E0415"/>
    <w:rsid w:val="000E28E7"/>
    <w:rsid w:val="000E2A8E"/>
    <w:rsid w:val="000E6A90"/>
    <w:rsid w:val="000F106C"/>
    <w:rsid w:val="0010288D"/>
    <w:rsid w:val="001103AA"/>
    <w:rsid w:val="00121B1E"/>
    <w:rsid w:val="00123139"/>
    <w:rsid w:val="0012418C"/>
    <w:rsid w:val="0012622F"/>
    <w:rsid w:val="001273BB"/>
    <w:rsid w:val="00134E14"/>
    <w:rsid w:val="00140138"/>
    <w:rsid w:val="001408B0"/>
    <w:rsid w:val="0014125C"/>
    <w:rsid w:val="00146CF7"/>
    <w:rsid w:val="00153FB1"/>
    <w:rsid w:val="00155467"/>
    <w:rsid w:val="00180D95"/>
    <w:rsid w:val="00184C19"/>
    <w:rsid w:val="0018711F"/>
    <w:rsid w:val="00190ED8"/>
    <w:rsid w:val="00197A1B"/>
    <w:rsid w:val="001A1C43"/>
    <w:rsid w:val="001B4B04"/>
    <w:rsid w:val="001B7E17"/>
    <w:rsid w:val="001C0840"/>
    <w:rsid w:val="001C13B5"/>
    <w:rsid w:val="001C6663"/>
    <w:rsid w:val="001C7895"/>
    <w:rsid w:val="001D26DF"/>
    <w:rsid w:val="001D7DAE"/>
    <w:rsid w:val="001E0727"/>
    <w:rsid w:val="001E4579"/>
    <w:rsid w:val="001E5AA0"/>
    <w:rsid w:val="001E7DB6"/>
    <w:rsid w:val="001F3CFD"/>
    <w:rsid w:val="00202147"/>
    <w:rsid w:val="00202DA8"/>
    <w:rsid w:val="00204571"/>
    <w:rsid w:val="00211E0B"/>
    <w:rsid w:val="00215952"/>
    <w:rsid w:val="00243D46"/>
    <w:rsid w:val="0024463C"/>
    <w:rsid w:val="002449F6"/>
    <w:rsid w:val="00251FEF"/>
    <w:rsid w:val="0025756B"/>
    <w:rsid w:val="00257870"/>
    <w:rsid w:val="00262956"/>
    <w:rsid w:val="002758D3"/>
    <w:rsid w:val="00287580"/>
    <w:rsid w:val="0029771C"/>
    <w:rsid w:val="002A11FC"/>
    <w:rsid w:val="002A2E38"/>
    <w:rsid w:val="002A3519"/>
    <w:rsid w:val="002A6D84"/>
    <w:rsid w:val="002A7F0E"/>
    <w:rsid w:val="002B3F65"/>
    <w:rsid w:val="002B5645"/>
    <w:rsid w:val="002C2ABB"/>
    <w:rsid w:val="002C6125"/>
    <w:rsid w:val="002C697A"/>
    <w:rsid w:val="002C7F39"/>
    <w:rsid w:val="002D07DD"/>
    <w:rsid w:val="002D20F7"/>
    <w:rsid w:val="002D2789"/>
    <w:rsid w:val="002D5027"/>
    <w:rsid w:val="002D7058"/>
    <w:rsid w:val="002F175C"/>
    <w:rsid w:val="002F35AA"/>
    <w:rsid w:val="00300936"/>
    <w:rsid w:val="0031211B"/>
    <w:rsid w:val="00312727"/>
    <w:rsid w:val="00320B93"/>
    <w:rsid w:val="00321094"/>
    <w:rsid w:val="003229D8"/>
    <w:rsid w:val="00323AE6"/>
    <w:rsid w:val="003329A1"/>
    <w:rsid w:val="00336ED1"/>
    <w:rsid w:val="00345AEA"/>
    <w:rsid w:val="00350553"/>
    <w:rsid w:val="00351BED"/>
    <w:rsid w:val="00352709"/>
    <w:rsid w:val="00356C3C"/>
    <w:rsid w:val="00357234"/>
    <w:rsid w:val="00363942"/>
    <w:rsid w:val="00364080"/>
    <w:rsid w:val="00371178"/>
    <w:rsid w:val="00375477"/>
    <w:rsid w:val="00375B47"/>
    <w:rsid w:val="00377058"/>
    <w:rsid w:val="0037761E"/>
    <w:rsid w:val="00380C68"/>
    <w:rsid w:val="00392F1A"/>
    <w:rsid w:val="003A4810"/>
    <w:rsid w:val="003A6810"/>
    <w:rsid w:val="003B0011"/>
    <w:rsid w:val="003B1660"/>
    <w:rsid w:val="003B2604"/>
    <w:rsid w:val="003B5F47"/>
    <w:rsid w:val="003C2CC4"/>
    <w:rsid w:val="003C3645"/>
    <w:rsid w:val="003D2702"/>
    <w:rsid w:val="003D4B23"/>
    <w:rsid w:val="003E28DF"/>
    <w:rsid w:val="003E47E0"/>
    <w:rsid w:val="00405DA4"/>
    <w:rsid w:val="00405DDC"/>
    <w:rsid w:val="00410C89"/>
    <w:rsid w:val="00417049"/>
    <w:rsid w:val="004325CB"/>
    <w:rsid w:val="0043595D"/>
    <w:rsid w:val="004413AB"/>
    <w:rsid w:val="00447EE4"/>
    <w:rsid w:val="00451CE6"/>
    <w:rsid w:val="0045495B"/>
    <w:rsid w:val="0045555F"/>
    <w:rsid w:val="004555B6"/>
    <w:rsid w:val="00455A74"/>
    <w:rsid w:val="00463140"/>
    <w:rsid w:val="00471331"/>
    <w:rsid w:val="0048438F"/>
    <w:rsid w:val="00492022"/>
    <w:rsid w:val="0049607F"/>
    <w:rsid w:val="004A0D2A"/>
    <w:rsid w:val="004A2267"/>
    <w:rsid w:val="004A30E1"/>
    <w:rsid w:val="004C0B27"/>
    <w:rsid w:val="004C3376"/>
    <w:rsid w:val="004C7100"/>
    <w:rsid w:val="004D18F1"/>
    <w:rsid w:val="004D25E4"/>
    <w:rsid w:val="004D5E99"/>
    <w:rsid w:val="004D7A78"/>
    <w:rsid w:val="004E23DC"/>
    <w:rsid w:val="004F21ED"/>
    <w:rsid w:val="00502510"/>
    <w:rsid w:val="00507172"/>
    <w:rsid w:val="0051670B"/>
    <w:rsid w:val="00516A2E"/>
    <w:rsid w:val="00517B36"/>
    <w:rsid w:val="005224B8"/>
    <w:rsid w:val="0052674C"/>
    <w:rsid w:val="005324BC"/>
    <w:rsid w:val="00540CD9"/>
    <w:rsid w:val="005420F2"/>
    <w:rsid w:val="005459AC"/>
    <w:rsid w:val="005545DB"/>
    <w:rsid w:val="0056279A"/>
    <w:rsid w:val="00564838"/>
    <w:rsid w:val="00574F85"/>
    <w:rsid w:val="005759C2"/>
    <w:rsid w:val="00576A2F"/>
    <w:rsid w:val="005774CC"/>
    <w:rsid w:val="005775B4"/>
    <w:rsid w:val="005831D5"/>
    <w:rsid w:val="00584594"/>
    <w:rsid w:val="00585E5B"/>
    <w:rsid w:val="005A17B5"/>
    <w:rsid w:val="005A37EC"/>
    <w:rsid w:val="005B3DB3"/>
    <w:rsid w:val="005B469C"/>
    <w:rsid w:val="005B46D8"/>
    <w:rsid w:val="005C6A79"/>
    <w:rsid w:val="005E21ED"/>
    <w:rsid w:val="005E2ABB"/>
    <w:rsid w:val="005E5F5F"/>
    <w:rsid w:val="005E7B22"/>
    <w:rsid w:val="005F41EA"/>
    <w:rsid w:val="005F4BC1"/>
    <w:rsid w:val="006001EE"/>
    <w:rsid w:val="0060554A"/>
    <w:rsid w:val="0060569D"/>
    <w:rsid w:val="00606B30"/>
    <w:rsid w:val="00611FC4"/>
    <w:rsid w:val="006141D1"/>
    <w:rsid w:val="0061501E"/>
    <w:rsid w:val="006150A0"/>
    <w:rsid w:val="006176FB"/>
    <w:rsid w:val="006206D4"/>
    <w:rsid w:val="00620B7D"/>
    <w:rsid w:val="00623BE1"/>
    <w:rsid w:val="0062404D"/>
    <w:rsid w:val="00624A0C"/>
    <w:rsid w:val="006318FB"/>
    <w:rsid w:val="0063688D"/>
    <w:rsid w:val="00640B10"/>
    <w:rsid w:val="00640B26"/>
    <w:rsid w:val="006451F7"/>
    <w:rsid w:val="00646687"/>
    <w:rsid w:val="00667387"/>
    <w:rsid w:val="00672932"/>
    <w:rsid w:val="0067678A"/>
    <w:rsid w:val="0067789F"/>
    <w:rsid w:val="00681187"/>
    <w:rsid w:val="006861B6"/>
    <w:rsid w:val="006867C4"/>
    <w:rsid w:val="006872B6"/>
    <w:rsid w:val="006A2A75"/>
    <w:rsid w:val="006A4B9E"/>
    <w:rsid w:val="006A78AA"/>
    <w:rsid w:val="006B0D00"/>
    <w:rsid w:val="006B10B8"/>
    <w:rsid w:val="006B2498"/>
    <w:rsid w:val="006B33C0"/>
    <w:rsid w:val="006B4699"/>
    <w:rsid w:val="006B4E25"/>
    <w:rsid w:val="006C2A5A"/>
    <w:rsid w:val="006C3D9D"/>
    <w:rsid w:val="006C5F51"/>
    <w:rsid w:val="006E0B79"/>
    <w:rsid w:val="006E42F5"/>
    <w:rsid w:val="006E5351"/>
    <w:rsid w:val="006E564B"/>
    <w:rsid w:val="006F7514"/>
    <w:rsid w:val="006F7528"/>
    <w:rsid w:val="006F7FC3"/>
    <w:rsid w:val="00706189"/>
    <w:rsid w:val="00710D93"/>
    <w:rsid w:val="007172F5"/>
    <w:rsid w:val="00717B4B"/>
    <w:rsid w:val="007243FF"/>
    <w:rsid w:val="00724F0B"/>
    <w:rsid w:val="0072632A"/>
    <w:rsid w:val="00733938"/>
    <w:rsid w:val="00735B84"/>
    <w:rsid w:val="0073706C"/>
    <w:rsid w:val="0073747E"/>
    <w:rsid w:val="00737A67"/>
    <w:rsid w:val="007504FF"/>
    <w:rsid w:val="00750971"/>
    <w:rsid w:val="0075189E"/>
    <w:rsid w:val="007706C8"/>
    <w:rsid w:val="007925D9"/>
    <w:rsid w:val="00794297"/>
    <w:rsid w:val="00796370"/>
    <w:rsid w:val="007967AB"/>
    <w:rsid w:val="007B3020"/>
    <w:rsid w:val="007B366F"/>
    <w:rsid w:val="007B467F"/>
    <w:rsid w:val="007B6085"/>
    <w:rsid w:val="007B6BA5"/>
    <w:rsid w:val="007C3390"/>
    <w:rsid w:val="007C4F4B"/>
    <w:rsid w:val="007D24EC"/>
    <w:rsid w:val="007D2BCC"/>
    <w:rsid w:val="007D6FAC"/>
    <w:rsid w:val="007E1A2C"/>
    <w:rsid w:val="007E3937"/>
    <w:rsid w:val="007E5376"/>
    <w:rsid w:val="007E6E07"/>
    <w:rsid w:val="007E700D"/>
    <w:rsid w:val="007F25E5"/>
    <w:rsid w:val="007F6611"/>
    <w:rsid w:val="0080156A"/>
    <w:rsid w:val="00803CC2"/>
    <w:rsid w:val="00807668"/>
    <w:rsid w:val="00811A02"/>
    <w:rsid w:val="00816A61"/>
    <w:rsid w:val="00820BC2"/>
    <w:rsid w:val="008242D7"/>
    <w:rsid w:val="0083268E"/>
    <w:rsid w:val="00833223"/>
    <w:rsid w:val="008433DC"/>
    <w:rsid w:val="0085226B"/>
    <w:rsid w:val="00852F60"/>
    <w:rsid w:val="00855C8B"/>
    <w:rsid w:val="008612D2"/>
    <w:rsid w:val="008643C3"/>
    <w:rsid w:val="00886C8F"/>
    <w:rsid w:val="008979B1"/>
    <w:rsid w:val="008A6B25"/>
    <w:rsid w:val="008A6C4F"/>
    <w:rsid w:val="008B2335"/>
    <w:rsid w:val="008B2AB6"/>
    <w:rsid w:val="008C1572"/>
    <w:rsid w:val="008C4480"/>
    <w:rsid w:val="008C58DE"/>
    <w:rsid w:val="008C68E7"/>
    <w:rsid w:val="008C6E31"/>
    <w:rsid w:val="008E6E74"/>
    <w:rsid w:val="008F27C6"/>
    <w:rsid w:val="008F77CE"/>
    <w:rsid w:val="00902C2E"/>
    <w:rsid w:val="00903B0F"/>
    <w:rsid w:val="00904618"/>
    <w:rsid w:val="00915F34"/>
    <w:rsid w:val="00920D5C"/>
    <w:rsid w:val="009223CA"/>
    <w:rsid w:val="0092443D"/>
    <w:rsid w:val="00932BDA"/>
    <w:rsid w:val="00933970"/>
    <w:rsid w:val="009346F2"/>
    <w:rsid w:val="00940F93"/>
    <w:rsid w:val="009514F9"/>
    <w:rsid w:val="00952AA8"/>
    <w:rsid w:val="00955042"/>
    <w:rsid w:val="00955BB8"/>
    <w:rsid w:val="00967AC9"/>
    <w:rsid w:val="009760E4"/>
    <w:rsid w:val="00984852"/>
    <w:rsid w:val="00986958"/>
    <w:rsid w:val="009938AC"/>
    <w:rsid w:val="0099400C"/>
    <w:rsid w:val="00995285"/>
    <w:rsid w:val="009965FC"/>
    <w:rsid w:val="00997B9C"/>
    <w:rsid w:val="009B0F0E"/>
    <w:rsid w:val="009B2952"/>
    <w:rsid w:val="009C14AA"/>
    <w:rsid w:val="009C5E71"/>
    <w:rsid w:val="009C754E"/>
    <w:rsid w:val="009D2844"/>
    <w:rsid w:val="009D2F60"/>
    <w:rsid w:val="009D7449"/>
    <w:rsid w:val="009F2E8A"/>
    <w:rsid w:val="009F6AF2"/>
    <w:rsid w:val="009F738A"/>
    <w:rsid w:val="009F7711"/>
    <w:rsid w:val="009F7C5D"/>
    <w:rsid w:val="00A01489"/>
    <w:rsid w:val="00A0225E"/>
    <w:rsid w:val="00A0328B"/>
    <w:rsid w:val="00A1485A"/>
    <w:rsid w:val="00A16B4A"/>
    <w:rsid w:val="00A259CD"/>
    <w:rsid w:val="00A3215F"/>
    <w:rsid w:val="00A347B4"/>
    <w:rsid w:val="00A36856"/>
    <w:rsid w:val="00A37ABE"/>
    <w:rsid w:val="00A42385"/>
    <w:rsid w:val="00A4347F"/>
    <w:rsid w:val="00A43AF9"/>
    <w:rsid w:val="00A56C72"/>
    <w:rsid w:val="00A57515"/>
    <w:rsid w:val="00A577DD"/>
    <w:rsid w:val="00A612EE"/>
    <w:rsid w:val="00A64D20"/>
    <w:rsid w:val="00A65051"/>
    <w:rsid w:val="00A6662D"/>
    <w:rsid w:val="00A72F22"/>
    <w:rsid w:val="00A748A6"/>
    <w:rsid w:val="00A759C4"/>
    <w:rsid w:val="00A76BB3"/>
    <w:rsid w:val="00A776B4"/>
    <w:rsid w:val="00A80AA8"/>
    <w:rsid w:val="00A91CCF"/>
    <w:rsid w:val="00A92FC7"/>
    <w:rsid w:val="00A93E82"/>
    <w:rsid w:val="00A94361"/>
    <w:rsid w:val="00A9583A"/>
    <w:rsid w:val="00A9737D"/>
    <w:rsid w:val="00A97447"/>
    <w:rsid w:val="00AA4F95"/>
    <w:rsid w:val="00AB35F3"/>
    <w:rsid w:val="00AB3ABC"/>
    <w:rsid w:val="00AB5FE0"/>
    <w:rsid w:val="00AB6209"/>
    <w:rsid w:val="00AC5913"/>
    <w:rsid w:val="00AD152E"/>
    <w:rsid w:val="00AD5172"/>
    <w:rsid w:val="00AD711D"/>
    <w:rsid w:val="00AF0B79"/>
    <w:rsid w:val="00AF2488"/>
    <w:rsid w:val="00AF3E20"/>
    <w:rsid w:val="00AF6753"/>
    <w:rsid w:val="00B058A3"/>
    <w:rsid w:val="00B0594E"/>
    <w:rsid w:val="00B06775"/>
    <w:rsid w:val="00B11331"/>
    <w:rsid w:val="00B13DC8"/>
    <w:rsid w:val="00B15E1F"/>
    <w:rsid w:val="00B166D9"/>
    <w:rsid w:val="00B17D17"/>
    <w:rsid w:val="00B22B40"/>
    <w:rsid w:val="00B26ECE"/>
    <w:rsid w:val="00B30179"/>
    <w:rsid w:val="00B307F7"/>
    <w:rsid w:val="00B47D68"/>
    <w:rsid w:val="00B56E9C"/>
    <w:rsid w:val="00B56EFF"/>
    <w:rsid w:val="00B64B1F"/>
    <w:rsid w:val="00B6553F"/>
    <w:rsid w:val="00B671F9"/>
    <w:rsid w:val="00B67D24"/>
    <w:rsid w:val="00B72F39"/>
    <w:rsid w:val="00B8046C"/>
    <w:rsid w:val="00B81E12"/>
    <w:rsid w:val="00B84654"/>
    <w:rsid w:val="00B878E5"/>
    <w:rsid w:val="00B90C8C"/>
    <w:rsid w:val="00B97324"/>
    <w:rsid w:val="00B97FB0"/>
    <w:rsid w:val="00BA0492"/>
    <w:rsid w:val="00BA631F"/>
    <w:rsid w:val="00BB1037"/>
    <w:rsid w:val="00BB55E6"/>
    <w:rsid w:val="00BB5796"/>
    <w:rsid w:val="00BC0548"/>
    <w:rsid w:val="00BC74E9"/>
    <w:rsid w:val="00BD1657"/>
    <w:rsid w:val="00BD3164"/>
    <w:rsid w:val="00BE1798"/>
    <w:rsid w:val="00BE37B8"/>
    <w:rsid w:val="00BF68A8"/>
    <w:rsid w:val="00C11AD2"/>
    <w:rsid w:val="00C12F0F"/>
    <w:rsid w:val="00C14A92"/>
    <w:rsid w:val="00C16C45"/>
    <w:rsid w:val="00C213A4"/>
    <w:rsid w:val="00C25550"/>
    <w:rsid w:val="00C257FD"/>
    <w:rsid w:val="00C3140B"/>
    <w:rsid w:val="00C3206E"/>
    <w:rsid w:val="00C3415A"/>
    <w:rsid w:val="00C34C3E"/>
    <w:rsid w:val="00C3772A"/>
    <w:rsid w:val="00C43B88"/>
    <w:rsid w:val="00C443A8"/>
    <w:rsid w:val="00C451DC"/>
    <w:rsid w:val="00C46322"/>
    <w:rsid w:val="00C463DD"/>
    <w:rsid w:val="00C4724C"/>
    <w:rsid w:val="00C47F5E"/>
    <w:rsid w:val="00C62052"/>
    <w:rsid w:val="00C62156"/>
    <w:rsid w:val="00C629A0"/>
    <w:rsid w:val="00C64F29"/>
    <w:rsid w:val="00C64FC7"/>
    <w:rsid w:val="00C70174"/>
    <w:rsid w:val="00C745C3"/>
    <w:rsid w:val="00C75FB9"/>
    <w:rsid w:val="00C8087D"/>
    <w:rsid w:val="00C8541D"/>
    <w:rsid w:val="00C87A5A"/>
    <w:rsid w:val="00C95576"/>
    <w:rsid w:val="00C96A78"/>
    <w:rsid w:val="00C97D5C"/>
    <w:rsid w:val="00CA3197"/>
    <w:rsid w:val="00CB2909"/>
    <w:rsid w:val="00CC00AC"/>
    <w:rsid w:val="00CC7FE0"/>
    <w:rsid w:val="00CD18F5"/>
    <w:rsid w:val="00CE0EBE"/>
    <w:rsid w:val="00CE4A8F"/>
    <w:rsid w:val="00CF60D9"/>
    <w:rsid w:val="00CF7EE6"/>
    <w:rsid w:val="00D01E0D"/>
    <w:rsid w:val="00D061AD"/>
    <w:rsid w:val="00D10ED8"/>
    <w:rsid w:val="00D12A60"/>
    <w:rsid w:val="00D15509"/>
    <w:rsid w:val="00D176B1"/>
    <w:rsid w:val="00D2031B"/>
    <w:rsid w:val="00D218CB"/>
    <w:rsid w:val="00D238A8"/>
    <w:rsid w:val="00D25FE2"/>
    <w:rsid w:val="00D32C3D"/>
    <w:rsid w:val="00D36B40"/>
    <w:rsid w:val="00D376E2"/>
    <w:rsid w:val="00D41FAA"/>
    <w:rsid w:val="00D4249E"/>
    <w:rsid w:val="00D43252"/>
    <w:rsid w:val="00D51E7F"/>
    <w:rsid w:val="00D56077"/>
    <w:rsid w:val="00D57DD1"/>
    <w:rsid w:val="00D63369"/>
    <w:rsid w:val="00D64D91"/>
    <w:rsid w:val="00D7307F"/>
    <w:rsid w:val="00D80EB6"/>
    <w:rsid w:val="00D8404A"/>
    <w:rsid w:val="00D97089"/>
    <w:rsid w:val="00D974F5"/>
    <w:rsid w:val="00D978C6"/>
    <w:rsid w:val="00DA3C1C"/>
    <w:rsid w:val="00DA65A6"/>
    <w:rsid w:val="00DB04EB"/>
    <w:rsid w:val="00DB3A22"/>
    <w:rsid w:val="00DC1DDC"/>
    <w:rsid w:val="00DC6BF3"/>
    <w:rsid w:val="00DE1A58"/>
    <w:rsid w:val="00DE1B36"/>
    <w:rsid w:val="00DE2A93"/>
    <w:rsid w:val="00DE3CF5"/>
    <w:rsid w:val="00DE4105"/>
    <w:rsid w:val="00E026BB"/>
    <w:rsid w:val="00E06E8C"/>
    <w:rsid w:val="00E1152E"/>
    <w:rsid w:val="00E11997"/>
    <w:rsid w:val="00E250DA"/>
    <w:rsid w:val="00E331D2"/>
    <w:rsid w:val="00E338BA"/>
    <w:rsid w:val="00E42AEB"/>
    <w:rsid w:val="00E45EF2"/>
    <w:rsid w:val="00E50E45"/>
    <w:rsid w:val="00E52FFB"/>
    <w:rsid w:val="00E555E2"/>
    <w:rsid w:val="00E63DAA"/>
    <w:rsid w:val="00E71BC8"/>
    <w:rsid w:val="00E7260F"/>
    <w:rsid w:val="00E73395"/>
    <w:rsid w:val="00E7717E"/>
    <w:rsid w:val="00E84360"/>
    <w:rsid w:val="00E86EC2"/>
    <w:rsid w:val="00E9547B"/>
    <w:rsid w:val="00E96630"/>
    <w:rsid w:val="00EA42AE"/>
    <w:rsid w:val="00EB3AFE"/>
    <w:rsid w:val="00EB3B00"/>
    <w:rsid w:val="00EB44BC"/>
    <w:rsid w:val="00EB7913"/>
    <w:rsid w:val="00EB79C1"/>
    <w:rsid w:val="00EC0440"/>
    <w:rsid w:val="00EC311A"/>
    <w:rsid w:val="00EC6760"/>
    <w:rsid w:val="00EC6F5C"/>
    <w:rsid w:val="00ED32A3"/>
    <w:rsid w:val="00ED3BCB"/>
    <w:rsid w:val="00ED427E"/>
    <w:rsid w:val="00ED747A"/>
    <w:rsid w:val="00ED7A2A"/>
    <w:rsid w:val="00EE4D26"/>
    <w:rsid w:val="00EE6E65"/>
    <w:rsid w:val="00EF1D7F"/>
    <w:rsid w:val="00EF3A0D"/>
    <w:rsid w:val="00EF49C5"/>
    <w:rsid w:val="00F0135D"/>
    <w:rsid w:val="00F1208F"/>
    <w:rsid w:val="00F1615B"/>
    <w:rsid w:val="00F1647B"/>
    <w:rsid w:val="00F25F98"/>
    <w:rsid w:val="00F264FE"/>
    <w:rsid w:val="00F32923"/>
    <w:rsid w:val="00F3343B"/>
    <w:rsid w:val="00F34583"/>
    <w:rsid w:val="00F414E0"/>
    <w:rsid w:val="00F41B9A"/>
    <w:rsid w:val="00F45DDA"/>
    <w:rsid w:val="00F504DF"/>
    <w:rsid w:val="00F52097"/>
    <w:rsid w:val="00F5640A"/>
    <w:rsid w:val="00F75806"/>
    <w:rsid w:val="00F81534"/>
    <w:rsid w:val="00F834AD"/>
    <w:rsid w:val="00F91C6C"/>
    <w:rsid w:val="00FA114D"/>
    <w:rsid w:val="00FA271C"/>
    <w:rsid w:val="00FA5209"/>
    <w:rsid w:val="00FB2AA6"/>
    <w:rsid w:val="00FB32DE"/>
    <w:rsid w:val="00FB4A52"/>
    <w:rsid w:val="00FC0EE2"/>
    <w:rsid w:val="00FC68B7"/>
    <w:rsid w:val="00FD13B6"/>
    <w:rsid w:val="00FF03BE"/>
    <w:rsid w:val="00FF5006"/>
    <w:rsid w:val="00FF7D0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31B06"/>
  <w15:docId w15:val="{5F323D23-243E-4F66-BFCE-38C0033EB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B8046C"/>
    <w:pPr>
      <w:suppressAutoHyphens/>
      <w:spacing w:line="240" w:lineRule="atLeast"/>
    </w:pPr>
  </w:style>
  <w:style w:type="paragraph" w:styleId="Naslov1">
    <w:name w:val="heading 1"/>
    <w:aliases w:val="Table_G"/>
    <w:basedOn w:val="SingleTxtG"/>
    <w:next w:val="SingleTxtG"/>
    <w:qFormat/>
    <w:rsid w:val="00C213A4"/>
    <w:pPr>
      <w:spacing w:after="0" w:line="240" w:lineRule="auto"/>
      <w:ind w:right="0"/>
      <w:jc w:val="left"/>
      <w:outlineLvl w:val="0"/>
    </w:pPr>
  </w:style>
  <w:style w:type="paragraph" w:styleId="Naslov2">
    <w:name w:val="heading 2"/>
    <w:basedOn w:val="Navaden"/>
    <w:next w:val="Navaden"/>
    <w:semiHidden/>
    <w:qFormat/>
    <w:rsid w:val="00C213A4"/>
    <w:pPr>
      <w:spacing w:line="240" w:lineRule="auto"/>
      <w:outlineLvl w:val="1"/>
    </w:pPr>
  </w:style>
  <w:style w:type="paragraph" w:styleId="Naslov3">
    <w:name w:val="heading 3"/>
    <w:basedOn w:val="Navaden"/>
    <w:next w:val="Navaden"/>
    <w:semiHidden/>
    <w:qFormat/>
    <w:rsid w:val="00C213A4"/>
    <w:pPr>
      <w:spacing w:line="240" w:lineRule="auto"/>
      <w:outlineLvl w:val="2"/>
    </w:pPr>
  </w:style>
  <w:style w:type="paragraph" w:styleId="Naslov4">
    <w:name w:val="heading 4"/>
    <w:basedOn w:val="Navaden"/>
    <w:next w:val="Navaden"/>
    <w:semiHidden/>
    <w:qFormat/>
    <w:rsid w:val="00C213A4"/>
    <w:pPr>
      <w:spacing w:line="240" w:lineRule="auto"/>
      <w:outlineLvl w:val="3"/>
    </w:pPr>
  </w:style>
  <w:style w:type="paragraph" w:styleId="Naslov5">
    <w:name w:val="heading 5"/>
    <w:basedOn w:val="Navaden"/>
    <w:next w:val="Navaden"/>
    <w:semiHidden/>
    <w:qFormat/>
    <w:rsid w:val="00C213A4"/>
    <w:pPr>
      <w:spacing w:line="240" w:lineRule="auto"/>
      <w:outlineLvl w:val="4"/>
    </w:pPr>
  </w:style>
  <w:style w:type="paragraph" w:styleId="Naslov6">
    <w:name w:val="heading 6"/>
    <w:basedOn w:val="Navaden"/>
    <w:next w:val="Navaden"/>
    <w:semiHidden/>
    <w:qFormat/>
    <w:rsid w:val="00C213A4"/>
    <w:pPr>
      <w:spacing w:line="240" w:lineRule="auto"/>
      <w:outlineLvl w:val="5"/>
    </w:pPr>
  </w:style>
  <w:style w:type="paragraph" w:styleId="Naslov7">
    <w:name w:val="heading 7"/>
    <w:basedOn w:val="Navaden"/>
    <w:next w:val="Navaden"/>
    <w:semiHidden/>
    <w:qFormat/>
    <w:rsid w:val="00C213A4"/>
    <w:pPr>
      <w:spacing w:line="240" w:lineRule="auto"/>
      <w:outlineLvl w:val="6"/>
    </w:pPr>
  </w:style>
  <w:style w:type="paragraph" w:styleId="Naslov8">
    <w:name w:val="heading 8"/>
    <w:basedOn w:val="Navaden"/>
    <w:next w:val="Navaden"/>
    <w:semiHidden/>
    <w:qFormat/>
    <w:rsid w:val="00C213A4"/>
    <w:pPr>
      <w:spacing w:line="240" w:lineRule="auto"/>
      <w:outlineLvl w:val="7"/>
    </w:pPr>
  </w:style>
  <w:style w:type="paragraph" w:styleId="Naslov9">
    <w:name w:val="heading 9"/>
    <w:basedOn w:val="Navaden"/>
    <w:next w:val="Navaden"/>
    <w:semiHidden/>
    <w:qFormat/>
    <w:rsid w:val="00C213A4"/>
    <w:pPr>
      <w:spacing w:line="240" w:lineRule="auto"/>
      <w:outlineLvl w:val="8"/>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ingleTxtG">
    <w:name w:val="_ Single Txt_G"/>
    <w:basedOn w:val="Navaden"/>
    <w:qFormat/>
    <w:rsid w:val="00C213A4"/>
    <w:pPr>
      <w:spacing w:after="120"/>
      <w:ind w:left="1134" w:right="1134"/>
      <w:jc w:val="both"/>
    </w:pPr>
  </w:style>
  <w:style w:type="paragraph" w:customStyle="1" w:styleId="HMG">
    <w:name w:val="_ H __M_G"/>
    <w:basedOn w:val="Navaden"/>
    <w:next w:val="Navaden"/>
    <w:qFormat/>
    <w:rsid w:val="00C213A4"/>
    <w:pPr>
      <w:keepNext/>
      <w:keepLines/>
      <w:tabs>
        <w:tab w:val="right" w:pos="851"/>
      </w:tabs>
      <w:spacing w:before="240" w:after="240" w:line="360" w:lineRule="exact"/>
      <w:ind w:left="1134" w:right="1134" w:hanging="1134"/>
    </w:pPr>
    <w:rPr>
      <w:b/>
      <w:sz w:val="34"/>
    </w:rPr>
  </w:style>
  <w:style w:type="paragraph" w:customStyle="1" w:styleId="HChG">
    <w:name w:val="_ H _Ch_G"/>
    <w:basedOn w:val="Navaden"/>
    <w:next w:val="Navaden"/>
    <w:qFormat/>
    <w:rsid w:val="00C213A4"/>
    <w:pPr>
      <w:keepNext/>
      <w:keepLines/>
      <w:tabs>
        <w:tab w:val="right" w:pos="851"/>
      </w:tabs>
      <w:spacing w:before="360" w:after="240" w:line="300" w:lineRule="exact"/>
      <w:ind w:left="1134" w:right="1134" w:hanging="1134"/>
    </w:pPr>
    <w:rPr>
      <w:b/>
      <w:sz w:val="28"/>
    </w:rPr>
  </w:style>
  <w:style w:type="character" w:styleId="Sprotnaopomba-sklic">
    <w:name w:val="footnote reference"/>
    <w:aliases w:val="4_G,Footnote symbol,Footnote Reference Number,SUPERS,Footnote Refernece,ftref,Footnote Reference Superscript,Vēres atsauce,Footnotes refss,BVI fnr,16 Point,Superscript 6 Point,Footnote Reference_LVL6,Footnote Reference_LVL61"/>
    <w:basedOn w:val="Privzetapisavaodstavka"/>
    <w:link w:val="BVIfnrCharCharCharChar"/>
    <w:uiPriority w:val="99"/>
    <w:qFormat/>
    <w:rsid w:val="00C213A4"/>
    <w:rPr>
      <w:rFonts w:ascii="Times New Roman" w:hAnsi="Times New Roman"/>
      <w:sz w:val="18"/>
      <w:vertAlign w:val="superscript"/>
    </w:rPr>
  </w:style>
  <w:style w:type="character" w:styleId="Konnaopomba-sklic">
    <w:name w:val="endnote reference"/>
    <w:aliases w:val="1_G"/>
    <w:basedOn w:val="Sprotnaopomba-sklic"/>
    <w:qFormat/>
    <w:rsid w:val="00C213A4"/>
    <w:rPr>
      <w:rFonts w:ascii="Times New Roman" w:hAnsi="Times New Roman"/>
      <w:sz w:val="18"/>
      <w:vertAlign w:val="superscript"/>
    </w:rPr>
  </w:style>
  <w:style w:type="paragraph" w:styleId="Glava">
    <w:name w:val="header"/>
    <w:aliases w:val="6_G"/>
    <w:basedOn w:val="Navaden"/>
    <w:qFormat/>
    <w:rsid w:val="00C213A4"/>
    <w:pPr>
      <w:pBdr>
        <w:bottom w:val="single" w:sz="4" w:space="4" w:color="auto"/>
      </w:pBdr>
      <w:spacing w:line="240" w:lineRule="auto"/>
    </w:pPr>
    <w:rPr>
      <w:b/>
      <w:sz w:val="18"/>
    </w:rPr>
  </w:style>
  <w:style w:type="table" w:styleId="Tabelamrea">
    <w:name w:val="Table Grid"/>
    <w:basedOn w:val="Navadnatabela"/>
    <w:semiHidden/>
    <w:rsid w:val="00C213A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iperpovezava">
    <w:name w:val="Hyperlink"/>
    <w:basedOn w:val="Privzetapisavaodstavka"/>
    <w:semiHidden/>
    <w:rsid w:val="00C213A4"/>
    <w:rPr>
      <w:color w:val="auto"/>
      <w:u w:val="none"/>
    </w:rPr>
  </w:style>
  <w:style w:type="character" w:styleId="SledenaHiperpovezava">
    <w:name w:val="FollowedHyperlink"/>
    <w:basedOn w:val="Privzetapisavaodstavka"/>
    <w:semiHidden/>
    <w:rsid w:val="00C213A4"/>
    <w:rPr>
      <w:color w:val="auto"/>
      <w:u w:val="none"/>
    </w:rPr>
  </w:style>
  <w:style w:type="paragraph" w:customStyle="1" w:styleId="SMG">
    <w:name w:val="__S_M_G"/>
    <w:basedOn w:val="Navaden"/>
    <w:next w:val="Navaden"/>
    <w:rsid w:val="00C213A4"/>
    <w:pPr>
      <w:keepNext/>
      <w:keepLines/>
      <w:spacing w:before="240" w:after="240" w:line="420" w:lineRule="exact"/>
      <w:ind w:left="1134" w:right="1134"/>
    </w:pPr>
    <w:rPr>
      <w:b/>
      <w:sz w:val="40"/>
    </w:rPr>
  </w:style>
  <w:style w:type="paragraph" w:customStyle="1" w:styleId="SLG">
    <w:name w:val="__S_L_G"/>
    <w:basedOn w:val="Navaden"/>
    <w:next w:val="Navaden"/>
    <w:rsid w:val="00C213A4"/>
    <w:pPr>
      <w:keepNext/>
      <w:keepLines/>
      <w:spacing w:before="240" w:after="240" w:line="580" w:lineRule="exact"/>
      <w:ind w:left="1134" w:right="1134"/>
    </w:pPr>
    <w:rPr>
      <w:b/>
      <w:sz w:val="56"/>
    </w:rPr>
  </w:style>
  <w:style w:type="paragraph" w:customStyle="1" w:styleId="SSG">
    <w:name w:val="__S_S_G"/>
    <w:basedOn w:val="Navaden"/>
    <w:next w:val="Navaden"/>
    <w:rsid w:val="00C213A4"/>
    <w:pPr>
      <w:keepNext/>
      <w:keepLines/>
      <w:spacing w:before="240" w:after="240" w:line="300" w:lineRule="exact"/>
      <w:ind w:left="1134" w:right="1134"/>
    </w:pPr>
    <w:rPr>
      <w:b/>
      <w:sz w:val="28"/>
    </w:rPr>
  </w:style>
  <w:style w:type="paragraph" w:styleId="Sprotnaopomba-besedilo">
    <w:name w:val="footnote text"/>
    <w:aliases w:val="5_G,FA Fu,Footnote Text Char Char,Footnote Text Char1 Char Char,Footnote Text Char Char Char Char,Footnote Text Char1 Char Char Char Char,Footnote Char Char Char Char Char,Footnote Text Char Char Char Char Char Char,Ch,f"/>
    <w:basedOn w:val="Navaden"/>
    <w:link w:val="Sprotnaopomba-besediloZnak"/>
    <w:uiPriority w:val="99"/>
    <w:qFormat/>
    <w:rsid w:val="00C213A4"/>
    <w:pPr>
      <w:tabs>
        <w:tab w:val="right" w:pos="1021"/>
      </w:tabs>
      <w:spacing w:line="220" w:lineRule="exact"/>
      <w:ind w:left="1134" w:right="1134" w:hanging="1134"/>
    </w:pPr>
    <w:rPr>
      <w:sz w:val="18"/>
    </w:rPr>
  </w:style>
  <w:style w:type="paragraph" w:styleId="Konnaopomba-besedilo">
    <w:name w:val="endnote text"/>
    <w:aliases w:val="2_G"/>
    <w:basedOn w:val="Sprotnaopomba-besedilo"/>
    <w:qFormat/>
    <w:rsid w:val="00C213A4"/>
  </w:style>
  <w:style w:type="character" w:styleId="tevilkastrani">
    <w:name w:val="page number"/>
    <w:aliases w:val="7_G"/>
    <w:basedOn w:val="Privzetapisavaodstavka"/>
    <w:qFormat/>
    <w:rsid w:val="00C213A4"/>
    <w:rPr>
      <w:rFonts w:ascii="Times New Roman" w:hAnsi="Times New Roman"/>
      <w:b/>
      <w:sz w:val="18"/>
    </w:rPr>
  </w:style>
  <w:style w:type="paragraph" w:customStyle="1" w:styleId="XLargeG">
    <w:name w:val="__XLarge_G"/>
    <w:basedOn w:val="Navaden"/>
    <w:next w:val="Navaden"/>
    <w:rsid w:val="00C213A4"/>
    <w:pPr>
      <w:keepNext/>
      <w:keepLines/>
      <w:spacing w:before="240" w:after="240" w:line="420" w:lineRule="exact"/>
      <w:ind w:left="1134" w:right="1134"/>
    </w:pPr>
    <w:rPr>
      <w:b/>
      <w:sz w:val="40"/>
    </w:rPr>
  </w:style>
  <w:style w:type="paragraph" w:customStyle="1" w:styleId="Bullet1G">
    <w:name w:val="_Bullet 1_G"/>
    <w:basedOn w:val="Navaden"/>
    <w:qFormat/>
    <w:rsid w:val="00C213A4"/>
    <w:pPr>
      <w:numPr>
        <w:numId w:val="1"/>
      </w:numPr>
      <w:spacing w:after="120"/>
      <w:ind w:right="1134"/>
      <w:jc w:val="both"/>
    </w:pPr>
  </w:style>
  <w:style w:type="paragraph" w:styleId="Noga">
    <w:name w:val="footer"/>
    <w:aliases w:val="3_G"/>
    <w:basedOn w:val="Navaden"/>
    <w:link w:val="NogaZnak"/>
    <w:qFormat/>
    <w:rsid w:val="00C213A4"/>
    <w:pPr>
      <w:spacing w:line="240" w:lineRule="auto"/>
    </w:pPr>
    <w:rPr>
      <w:sz w:val="16"/>
    </w:rPr>
  </w:style>
  <w:style w:type="paragraph" w:customStyle="1" w:styleId="Bullet2G">
    <w:name w:val="_Bullet 2_G"/>
    <w:basedOn w:val="Navaden"/>
    <w:qFormat/>
    <w:rsid w:val="00C213A4"/>
    <w:pPr>
      <w:numPr>
        <w:numId w:val="2"/>
      </w:numPr>
      <w:spacing w:after="120"/>
      <w:ind w:right="1134"/>
      <w:jc w:val="both"/>
    </w:pPr>
  </w:style>
  <w:style w:type="paragraph" w:customStyle="1" w:styleId="H1G">
    <w:name w:val="_ H_1_G"/>
    <w:basedOn w:val="Navaden"/>
    <w:next w:val="Navaden"/>
    <w:qFormat/>
    <w:rsid w:val="00C213A4"/>
    <w:pPr>
      <w:keepNext/>
      <w:keepLines/>
      <w:tabs>
        <w:tab w:val="right" w:pos="851"/>
      </w:tabs>
      <w:spacing w:before="360" w:after="240" w:line="270" w:lineRule="exact"/>
      <w:ind w:left="1134" w:right="1134" w:hanging="1134"/>
    </w:pPr>
    <w:rPr>
      <w:b/>
      <w:sz w:val="24"/>
    </w:rPr>
  </w:style>
  <w:style w:type="paragraph" w:customStyle="1" w:styleId="H23G">
    <w:name w:val="_ H_2/3_G"/>
    <w:basedOn w:val="Navaden"/>
    <w:next w:val="Navaden"/>
    <w:qFormat/>
    <w:rsid w:val="00C213A4"/>
    <w:pPr>
      <w:keepNext/>
      <w:keepLines/>
      <w:tabs>
        <w:tab w:val="right" w:pos="851"/>
      </w:tabs>
      <w:spacing w:before="240" w:after="120" w:line="240" w:lineRule="exact"/>
      <w:ind w:left="1134" w:right="1134" w:hanging="1134"/>
    </w:pPr>
    <w:rPr>
      <w:b/>
    </w:rPr>
  </w:style>
  <w:style w:type="paragraph" w:customStyle="1" w:styleId="H4G">
    <w:name w:val="_ H_4_G"/>
    <w:basedOn w:val="Navaden"/>
    <w:next w:val="Navaden"/>
    <w:qFormat/>
    <w:rsid w:val="00C213A4"/>
    <w:pPr>
      <w:keepNext/>
      <w:keepLines/>
      <w:tabs>
        <w:tab w:val="right" w:pos="851"/>
      </w:tabs>
      <w:spacing w:before="240" w:after="120" w:line="240" w:lineRule="exact"/>
      <w:ind w:left="1134" w:right="1134" w:hanging="1134"/>
    </w:pPr>
    <w:rPr>
      <w:i/>
    </w:rPr>
  </w:style>
  <w:style w:type="paragraph" w:customStyle="1" w:styleId="H56G">
    <w:name w:val="_ H_5/6_G"/>
    <w:basedOn w:val="Navaden"/>
    <w:next w:val="Navaden"/>
    <w:qFormat/>
    <w:rsid w:val="00C213A4"/>
    <w:pPr>
      <w:keepNext/>
      <w:keepLines/>
      <w:tabs>
        <w:tab w:val="right" w:pos="851"/>
      </w:tabs>
      <w:spacing w:before="240" w:after="120" w:line="240" w:lineRule="exact"/>
      <w:ind w:left="1134" w:right="1134" w:hanging="1134"/>
    </w:pPr>
  </w:style>
  <w:style w:type="paragraph" w:styleId="Besedilooblaka">
    <w:name w:val="Balloon Text"/>
    <w:basedOn w:val="Navaden"/>
    <w:link w:val="BesedilooblakaZnak"/>
    <w:semiHidden/>
    <w:rsid w:val="00B8046C"/>
    <w:pPr>
      <w:spacing w:line="240" w:lineRule="auto"/>
    </w:pPr>
    <w:rPr>
      <w:rFonts w:ascii="Tahoma" w:hAnsi="Tahoma" w:cs="Tahoma"/>
      <w:sz w:val="16"/>
    </w:rPr>
  </w:style>
  <w:style w:type="character" w:customStyle="1" w:styleId="BesedilooblakaZnak">
    <w:name w:val="Besedilo oblačka Znak"/>
    <w:basedOn w:val="Privzetapisavaodstavka"/>
    <w:link w:val="Besedilooblaka"/>
    <w:semiHidden/>
    <w:rsid w:val="00B8046C"/>
    <w:rPr>
      <w:rFonts w:ascii="Tahoma" w:hAnsi="Tahoma" w:cs="Tahoma"/>
      <w:sz w:val="16"/>
    </w:rPr>
  </w:style>
  <w:style w:type="paragraph" w:customStyle="1" w:styleId="ParNoG">
    <w:name w:val="_ParNo_G"/>
    <w:basedOn w:val="SingleTxtG"/>
    <w:qFormat/>
    <w:rsid w:val="005F4BC1"/>
    <w:pPr>
      <w:numPr>
        <w:numId w:val="3"/>
      </w:numPr>
      <w:kinsoku w:val="0"/>
      <w:overflowPunct w:val="0"/>
      <w:autoSpaceDE w:val="0"/>
      <w:autoSpaceDN w:val="0"/>
      <w:adjustRightInd w:val="0"/>
      <w:snapToGrid w:val="0"/>
    </w:pPr>
  </w:style>
  <w:style w:type="character" w:customStyle="1" w:styleId="Sprotnaopomba-besediloZnak">
    <w:name w:val="Sprotna opomba - besedilo Znak"/>
    <w:aliases w:val="5_G Znak,FA Fu Znak,Footnote Text Char Char Znak,Footnote Text Char1 Char Char Znak,Footnote Text Char Char Char Char Znak,Footnote Text Char1 Char Char Char Char Znak,Footnote Char Char Char Char Char Znak,Ch Znak,f Znak"/>
    <w:basedOn w:val="Privzetapisavaodstavka"/>
    <w:link w:val="Sprotnaopomba-besedilo"/>
    <w:uiPriority w:val="99"/>
    <w:qFormat/>
    <w:rsid w:val="00146CF7"/>
    <w:rPr>
      <w:sz w:val="18"/>
    </w:rPr>
  </w:style>
  <w:style w:type="paragraph" w:styleId="Odstavekseznama">
    <w:name w:val="List Paragraph"/>
    <w:basedOn w:val="Navaden"/>
    <w:uiPriority w:val="34"/>
    <w:semiHidden/>
    <w:qFormat/>
    <w:rsid w:val="00F1615B"/>
    <w:pPr>
      <w:ind w:left="720"/>
      <w:contextualSpacing/>
    </w:pPr>
  </w:style>
  <w:style w:type="character" w:styleId="Pripombasklic">
    <w:name w:val="annotation reference"/>
    <w:basedOn w:val="Privzetapisavaodstavka"/>
    <w:semiHidden/>
    <w:unhideWhenUsed/>
    <w:rsid w:val="00624A0C"/>
    <w:rPr>
      <w:sz w:val="16"/>
    </w:rPr>
  </w:style>
  <w:style w:type="paragraph" w:styleId="Pripombabesedilo">
    <w:name w:val="annotation text"/>
    <w:basedOn w:val="Navaden"/>
    <w:link w:val="PripombabesediloZnak"/>
    <w:semiHidden/>
    <w:unhideWhenUsed/>
    <w:rsid w:val="00624A0C"/>
    <w:pPr>
      <w:spacing w:line="240" w:lineRule="auto"/>
    </w:pPr>
  </w:style>
  <w:style w:type="character" w:customStyle="1" w:styleId="PripombabesediloZnak">
    <w:name w:val="Pripomba – besedilo Znak"/>
    <w:basedOn w:val="Privzetapisavaodstavka"/>
    <w:link w:val="Pripombabesedilo"/>
    <w:semiHidden/>
    <w:rsid w:val="00624A0C"/>
  </w:style>
  <w:style w:type="paragraph" w:styleId="Zadevapripombe">
    <w:name w:val="annotation subject"/>
    <w:basedOn w:val="Pripombabesedilo"/>
    <w:next w:val="Pripombabesedilo"/>
    <w:link w:val="ZadevapripombeZnak"/>
    <w:semiHidden/>
    <w:unhideWhenUsed/>
    <w:rsid w:val="00624A0C"/>
    <w:rPr>
      <w:b/>
    </w:rPr>
  </w:style>
  <w:style w:type="character" w:customStyle="1" w:styleId="ZadevapripombeZnak">
    <w:name w:val="Zadeva pripombe Znak"/>
    <w:basedOn w:val="PripombabesediloZnak"/>
    <w:link w:val="Zadevapripombe"/>
    <w:semiHidden/>
    <w:rsid w:val="00624A0C"/>
    <w:rPr>
      <w:b/>
    </w:rPr>
  </w:style>
  <w:style w:type="character" w:customStyle="1" w:styleId="NogaZnak">
    <w:name w:val="Noga Znak"/>
    <w:aliases w:val="3_G Znak"/>
    <w:basedOn w:val="Privzetapisavaodstavka"/>
    <w:link w:val="Noga"/>
    <w:rsid w:val="00BB5796"/>
    <w:rPr>
      <w:sz w:val="16"/>
    </w:rPr>
  </w:style>
  <w:style w:type="paragraph" w:customStyle="1" w:styleId="BVIfnrCharCharCharChar">
    <w:name w:val="BVI fnr Char Char Char Char"/>
    <w:aliases w:val="4_G Char Char Char Char, BVI fnr Знак Char Char Char Char Char Char,BVI fnr Знак Char Char Char Char Char Char, BVI fnr Car Car Знак Char Char Char Char Char Char,BVI fnr Car Car Знак Char Char Char Char Char Char"/>
    <w:basedOn w:val="Navaden"/>
    <w:link w:val="Sprotnaopomba-sklic"/>
    <w:uiPriority w:val="99"/>
    <w:rsid w:val="00BB5796"/>
    <w:pPr>
      <w:suppressAutoHyphens w:val="0"/>
      <w:spacing w:after="160" w:line="240" w:lineRule="exact"/>
    </w:pPr>
    <w:rPr>
      <w:sz w:val="18"/>
      <w:vertAlign w:val="superscript"/>
    </w:rPr>
  </w:style>
  <w:style w:type="paragraph" w:customStyle="1" w:styleId="P68B1DB1-Navaden1">
    <w:name w:val="P68B1DB1-Navaden1"/>
    <w:basedOn w:val="Navaden"/>
    <w:rPr>
      <w:sz w:val="36"/>
    </w:rPr>
  </w:style>
  <w:style w:type="paragraph" w:customStyle="1" w:styleId="P68B1DB1-Navaden2">
    <w:name w:val="P68B1DB1-Navaden2"/>
    <w:basedOn w:val="Navaden"/>
    <w:rPr>
      <w:b/>
      <w:sz w:val="24"/>
    </w:rPr>
  </w:style>
  <w:style w:type="paragraph" w:customStyle="1" w:styleId="P68B1DB1-SingleTxtG3">
    <w:name w:val="P68B1DB1-SingleTxtG3"/>
    <w:basedOn w:val="SingleTxtG"/>
    <w:rPr>
      <w:highlight w:val="yellow"/>
    </w:rPr>
  </w:style>
  <w:style w:type="paragraph" w:customStyle="1" w:styleId="P68B1DB1-Navaden4">
    <w:name w:val="P68B1DB1-Navaden4"/>
    <w:basedOn w:val="Navaden"/>
    <w:rPr>
      <w:u w:val="single"/>
    </w:rPr>
  </w:style>
  <w:style w:type="paragraph" w:customStyle="1" w:styleId="P68B1DB1-Noga5">
    <w:name w:val="P68B1DB1-Noga5"/>
    <w:basedOn w:val="Noga"/>
    <w:rPr>
      <w:sz w:val="20"/>
    </w:rPr>
  </w:style>
  <w:style w:type="paragraph" w:customStyle="1" w:styleId="P68B1DB1-Noga6">
    <w:name w:val="P68B1DB1-Noga6"/>
    <w:basedOn w:val="Noga"/>
    <w:rPr>
      <w:rFonts w:ascii="C39T30Lfz" w:hAnsi="C39T30Lfz"/>
      <w:sz w:val="56"/>
    </w:rPr>
  </w:style>
  <w:style w:type="paragraph" w:customStyle="1" w:styleId="P68B1DB1-Noga7">
    <w:name w:val="P68B1DB1-Noga7"/>
    <w:basedOn w:val="Noga"/>
    <w:rPr>
      <w:sz w:val="18"/>
    </w:rPr>
  </w:style>
  <w:style w:type="paragraph" w:styleId="Revizija">
    <w:name w:val="Revision"/>
    <w:hidden/>
    <w:uiPriority w:val="99"/>
    <w:semiHidden/>
    <w:rsid w:val="00D36B40"/>
  </w:style>
  <w:style w:type="character" w:styleId="Nerazreenaomemba">
    <w:name w:val="Unresolved Mention"/>
    <w:basedOn w:val="Privzetapisavaodstavka"/>
    <w:uiPriority w:val="99"/>
    <w:semiHidden/>
    <w:unhideWhenUsed/>
    <w:rsid w:val="003754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CRPD\CRPD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85BC510C55434996A4FFA74D3926E3" ma:contentTypeVersion="0" ma:contentTypeDescription="Create a new document." ma:contentTypeScope="" ma:versionID="d2d3fe04fd11e69a3cdd0c3675f7ca2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D84E35-3F3D-47D9-B74D-B8885D7C99B9}">
  <ds:schemaRefs>
    <ds:schemaRef ds:uri="http://schemas.openxmlformats.org/officeDocument/2006/bibliography"/>
  </ds:schemaRefs>
</ds:datastoreItem>
</file>

<file path=customXml/itemProps2.xml><?xml version="1.0" encoding="utf-8"?>
<ds:datastoreItem xmlns:ds="http://schemas.openxmlformats.org/officeDocument/2006/customXml" ds:itemID="{4971A366-EB50-4FC9-901F-91A2F6AC1532}">
  <ds:schemaRefs>
    <ds:schemaRef ds:uri="http://schemas.microsoft.com/sharepoint/v3/contenttype/forms"/>
  </ds:schemaRefs>
</ds:datastoreItem>
</file>

<file path=customXml/itemProps3.xml><?xml version="1.0" encoding="utf-8"?>
<ds:datastoreItem xmlns:ds="http://schemas.openxmlformats.org/officeDocument/2006/customXml" ds:itemID="{30458C4D-65C6-4651-989E-2103029DA7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A8A761-537D-4860-8C75-E8754D9F7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CRPD_E</Template>
  <TotalTime>0</TotalTime>
  <Pages>19</Pages>
  <Words>10200</Words>
  <Characters>61918</Characters>
  <Application>Microsoft Office Word</Application>
  <DocSecurity>0</DocSecurity>
  <Lines>1821</Lines>
  <Paragraphs>759</Paragraphs>
  <ScaleCrop>false</ScaleCrop>
  <HeadingPairs>
    <vt:vector size="8" baseType="variant">
      <vt:variant>
        <vt:lpstr>Naslov</vt:lpstr>
      </vt:variant>
      <vt:variant>
        <vt:i4>1</vt:i4>
      </vt:variant>
      <vt:variant>
        <vt:lpstr>Title</vt:lpstr>
      </vt:variant>
      <vt:variant>
        <vt:i4>1</vt:i4>
      </vt:variant>
      <vt:variant>
        <vt:lpstr>Titel</vt:lpstr>
      </vt:variant>
      <vt:variant>
        <vt:i4>1</vt:i4>
      </vt:variant>
      <vt:variant>
        <vt:lpstr>Titre</vt:lpstr>
      </vt:variant>
      <vt:variant>
        <vt:i4>1</vt:i4>
      </vt:variant>
    </vt:vector>
  </HeadingPairs>
  <TitlesOfParts>
    <vt:vector size="4" baseType="lpstr">
      <vt:lpstr>CRPD/C/19/R.3</vt:lpstr>
      <vt:lpstr>CRPD/C/19/R.3</vt:lpstr>
      <vt:lpstr>CRPD/C/19/R.3</vt:lpstr>
      <vt:lpstr>United Nations</vt:lpstr>
    </vt:vector>
  </TitlesOfParts>
  <Company>CSD</Company>
  <LinksUpToDate>false</LinksUpToDate>
  <CharactersWithSpaces>71359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CRPD/C/19/R.3</dc:title>
  <dc:creator>Boštjan Vernik Šetinc</dc:creator>
  <cp:lastModifiedBy>Črt Kaker</cp:lastModifiedBy>
  <cp:revision>2</cp:revision>
  <cp:lastPrinted>2008-01-29T13:17:00Z</cp:lastPrinted>
  <dcterms:created xsi:type="dcterms:W3CDTF">2026-03-24T07:57:00Z</dcterms:created>
  <dcterms:modified xsi:type="dcterms:W3CDTF">2026-03-24T07:57:00Z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0x0101004085BC510C55434996A4FFA74D3926E3</vt:lpwstr>
  </property>
</Properties>
</file>